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0F4" w:rsidRDefault="004900F4" w:rsidP="00A104B0">
      <w:pPr>
        <w:widowControl w:val="0"/>
        <w:spacing w:line="360" w:lineRule="auto"/>
        <w:ind w:right="-164"/>
        <w:jc w:val="both"/>
        <w:rPr>
          <w:rFonts w:ascii="Palatino Linotype" w:hAnsi="Palatino Linotype" w:cs="Arial"/>
          <w:b/>
        </w:rPr>
      </w:pPr>
      <w:r w:rsidRPr="002955E3">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MUNICIPIOS, EN LA SEXTA SESIÓN ORDINARIA DE TRECE DE FEBRERO DE DOS MIL DIECINUEVE, EN LOS RECURSOS DE REVISIÓN ACUMULADOS 04530/INFOEM/IP/RR/2018</w:t>
      </w:r>
      <w:r w:rsidRPr="002955E3">
        <w:rPr>
          <w:rFonts w:ascii="Palatino Linotype" w:eastAsia="Calibri" w:hAnsi="Palatino Linotype" w:cs="Arial"/>
          <w:b/>
          <w:color w:val="000000"/>
        </w:rPr>
        <w:t xml:space="preserve"> Y </w:t>
      </w:r>
      <w:r w:rsidRPr="002955E3">
        <w:rPr>
          <w:rFonts w:ascii="Palatino Linotype" w:hAnsi="Palatino Linotype" w:cs="Arial"/>
          <w:b/>
        </w:rPr>
        <w:t>04531/INFOEM/IP/RR/2018.</w:t>
      </w:r>
    </w:p>
    <w:p w:rsidR="00A104B0" w:rsidRPr="00ED5CBD" w:rsidRDefault="00A104B0" w:rsidP="00A104B0">
      <w:pPr>
        <w:widowControl w:val="0"/>
        <w:spacing w:line="360" w:lineRule="auto"/>
        <w:ind w:right="-164"/>
        <w:jc w:val="both"/>
        <w:rPr>
          <w:rFonts w:ascii="Palatino Linotype" w:hAnsi="Palatino Linotype" w:cs="Arial"/>
          <w:b/>
          <w:sz w:val="10"/>
          <w:szCs w:val="10"/>
        </w:rPr>
      </w:pPr>
    </w:p>
    <w:p w:rsidR="004900F4" w:rsidRDefault="004900F4" w:rsidP="00A104B0">
      <w:pPr>
        <w:spacing w:line="360" w:lineRule="auto"/>
        <w:jc w:val="both"/>
        <w:rPr>
          <w:rFonts w:ascii="Palatino Linotype" w:hAnsi="Palatino Linotype" w:cs="Arial"/>
        </w:rPr>
      </w:pPr>
      <w:r w:rsidRPr="002955E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2955E3">
        <w:rPr>
          <w:rFonts w:ascii="Palatino Linotype" w:hAnsi="Palatino Linotype" w:cs="Arial"/>
          <w:b/>
          <w:lang w:val="es-ES_tradnl"/>
        </w:rPr>
        <w:t xml:space="preserve"> </w:t>
      </w:r>
      <w:r w:rsidRPr="002955E3">
        <w:rPr>
          <w:rFonts w:ascii="Palatino Linotype" w:hAnsi="Palatino Linotype" w:cs="Arial"/>
          <w:b/>
        </w:rPr>
        <w:t xml:space="preserve">EVA ABAID YAPUR </w:t>
      </w:r>
      <w:r w:rsidRPr="002955E3">
        <w:rPr>
          <w:rFonts w:ascii="Palatino Linotype" w:hAnsi="Palatino Linotype" w:cs="Arial"/>
        </w:rPr>
        <w:t xml:space="preserve">emite </w:t>
      </w:r>
      <w:r w:rsidRPr="002955E3">
        <w:rPr>
          <w:rFonts w:ascii="Palatino Linotype" w:hAnsi="Palatino Linotype" w:cs="Arial"/>
          <w:b/>
        </w:rPr>
        <w:t xml:space="preserve">VOTO PARTICULAR </w:t>
      </w:r>
      <w:r w:rsidRPr="002955E3">
        <w:rPr>
          <w:rFonts w:ascii="Palatino Linotype" w:hAnsi="Palatino Linotype" w:cs="Arial"/>
        </w:rPr>
        <w:t xml:space="preserve">respecto de la resolución dictada en los recursos de revisión acumulados </w:t>
      </w:r>
      <w:r w:rsidRPr="002955E3">
        <w:rPr>
          <w:rFonts w:ascii="Palatino Linotype" w:eastAsia="Calibri" w:hAnsi="Palatino Linotype" w:cs="Arial"/>
          <w:b/>
          <w:color w:val="000000"/>
        </w:rPr>
        <w:t xml:space="preserve">04530/INFOEM/IP/RR/2018 </w:t>
      </w:r>
      <w:r w:rsidRPr="002955E3">
        <w:rPr>
          <w:rFonts w:ascii="Palatino Linotype" w:eastAsia="Calibri" w:hAnsi="Palatino Linotype" w:cs="Arial"/>
          <w:color w:val="000000"/>
        </w:rPr>
        <w:t xml:space="preserve">y </w:t>
      </w:r>
      <w:r w:rsidRPr="002955E3">
        <w:rPr>
          <w:rFonts w:ascii="Palatino Linotype" w:eastAsia="Calibri" w:hAnsi="Palatino Linotype" w:cs="Arial"/>
          <w:b/>
          <w:color w:val="000000"/>
        </w:rPr>
        <w:t>04531/INFOEM/IP/RR/2018</w:t>
      </w:r>
      <w:r w:rsidRPr="002955E3">
        <w:rPr>
          <w:rFonts w:ascii="Palatino Linotype" w:hAnsi="Palatino Linotype" w:cs="Arial"/>
        </w:rPr>
        <w:t xml:space="preserve">, pronunciada por el Pleno de este Instituto ante el proyecto presentado por la Comisionada Presidenta </w:t>
      </w:r>
      <w:r w:rsidRPr="002955E3">
        <w:rPr>
          <w:rFonts w:ascii="Palatino Linotype" w:hAnsi="Palatino Linotype" w:cs="Arial"/>
          <w:b/>
        </w:rPr>
        <w:t>ZULEMA MARTÍNEZ SÁNCHEZ</w:t>
      </w:r>
      <w:r w:rsidRPr="002955E3">
        <w:rPr>
          <w:rFonts w:ascii="Palatino Linotype" w:hAnsi="Palatino Linotype" w:cs="Arial"/>
        </w:rPr>
        <w:t>, que es del tenor siguiente.</w:t>
      </w:r>
    </w:p>
    <w:p w:rsidR="00A104B0" w:rsidRPr="00ED5CBD" w:rsidRDefault="00A104B0" w:rsidP="00A104B0">
      <w:pPr>
        <w:spacing w:line="360" w:lineRule="auto"/>
        <w:jc w:val="both"/>
        <w:rPr>
          <w:rFonts w:ascii="Palatino Linotype" w:hAnsi="Palatino Linotype" w:cs="Arial"/>
          <w:sz w:val="10"/>
          <w:szCs w:val="10"/>
        </w:rPr>
      </w:pPr>
    </w:p>
    <w:p w:rsidR="004900F4" w:rsidRDefault="004900F4" w:rsidP="00A104B0">
      <w:pPr>
        <w:spacing w:line="360" w:lineRule="auto"/>
        <w:jc w:val="both"/>
        <w:rPr>
          <w:rFonts w:ascii="Palatino Linotype" w:hAnsi="Palatino Linotype"/>
        </w:rPr>
      </w:pPr>
      <w:r w:rsidRPr="002955E3">
        <w:rPr>
          <w:rFonts w:ascii="Palatino Linotype" w:hAnsi="Palatino Linotype"/>
        </w:rPr>
        <w:t xml:space="preserve">Tal y como quedó debidamente asentado en la resolución materia del presente voto, el particular requirió del </w:t>
      </w:r>
      <w:r w:rsidRPr="002955E3">
        <w:rPr>
          <w:rFonts w:ascii="Palatino Linotype" w:hAnsi="Palatino Linotype" w:cs="Arial"/>
          <w:b/>
        </w:rPr>
        <w:t xml:space="preserve">Ayuntamiento de Otzolotepec, </w:t>
      </w:r>
      <w:r w:rsidRPr="002955E3">
        <w:rPr>
          <w:rFonts w:ascii="Palatino Linotype" w:hAnsi="Palatino Linotype"/>
        </w:rPr>
        <w:t xml:space="preserve">en lo sucesivo </w:t>
      </w:r>
      <w:r w:rsidRPr="002955E3">
        <w:rPr>
          <w:rFonts w:ascii="Palatino Linotype" w:hAnsi="Palatino Linotype"/>
          <w:b/>
        </w:rPr>
        <w:t xml:space="preserve">EL SUJETO OBLIGADO, </w:t>
      </w:r>
      <w:r w:rsidR="0046796F" w:rsidRPr="002955E3">
        <w:rPr>
          <w:rFonts w:ascii="Palatino Linotype" w:hAnsi="Palatino Linotype"/>
        </w:rPr>
        <w:t>la información que se desagrega a continuación:</w:t>
      </w:r>
    </w:p>
    <w:p w:rsidR="00A104B0" w:rsidRPr="00ED5CBD" w:rsidRDefault="00A104B0" w:rsidP="00A104B0">
      <w:pPr>
        <w:spacing w:line="360" w:lineRule="auto"/>
        <w:jc w:val="both"/>
        <w:rPr>
          <w:rFonts w:ascii="Palatino Linotype" w:hAnsi="Palatino Linotype"/>
          <w:sz w:val="10"/>
          <w:szCs w:val="10"/>
        </w:rPr>
      </w:pPr>
    </w:p>
    <w:p w:rsidR="0046796F" w:rsidRDefault="0046796F" w:rsidP="00A104B0">
      <w:pPr>
        <w:pStyle w:val="Prrafodelista"/>
        <w:numPr>
          <w:ilvl w:val="0"/>
          <w:numId w:val="1"/>
        </w:numPr>
        <w:spacing w:line="360" w:lineRule="auto"/>
        <w:jc w:val="both"/>
        <w:rPr>
          <w:rFonts w:ascii="Palatino Linotype" w:hAnsi="Palatino Linotype" w:cs="Arial"/>
          <w:color w:val="000000" w:themeColor="text1"/>
        </w:rPr>
      </w:pPr>
      <w:r w:rsidRPr="002955E3">
        <w:rPr>
          <w:rFonts w:ascii="Palatino Linotype" w:hAnsi="Palatino Linotype" w:cs="Arial"/>
          <w:color w:val="000000" w:themeColor="text1"/>
        </w:rPr>
        <w:t>Lista de expedientes laborales tramitados ante el Tribunal Esta</w:t>
      </w:r>
      <w:r w:rsidR="002D2C2A">
        <w:rPr>
          <w:rFonts w:ascii="Palatino Linotype" w:hAnsi="Palatino Linotype" w:cs="Arial"/>
          <w:color w:val="000000" w:themeColor="text1"/>
        </w:rPr>
        <w:t>tal de Conciliación y Arbitraje, incluyendo el nombre del actor, el número y estatus del expediente.</w:t>
      </w:r>
    </w:p>
    <w:p w:rsidR="0046796F" w:rsidRPr="002D2C2A" w:rsidRDefault="0046796F" w:rsidP="00A104B0">
      <w:pPr>
        <w:pStyle w:val="Prrafodelista"/>
        <w:numPr>
          <w:ilvl w:val="0"/>
          <w:numId w:val="1"/>
        </w:numPr>
        <w:spacing w:line="360" w:lineRule="auto"/>
        <w:jc w:val="both"/>
        <w:rPr>
          <w:rFonts w:ascii="Palatino Linotype" w:hAnsi="Palatino Linotype" w:cs="Arial"/>
          <w:color w:val="000000" w:themeColor="text1"/>
        </w:rPr>
      </w:pPr>
      <w:r w:rsidRPr="002955E3">
        <w:rPr>
          <w:rFonts w:ascii="Palatino Linotype" w:hAnsi="Palatino Linotype" w:cs="Arial"/>
          <w:color w:val="000000" w:themeColor="text1"/>
        </w:rPr>
        <w:lastRenderedPageBreak/>
        <w:t>Lista de expedientes laborales tramitados ante la Ju</w:t>
      </w:r>
      <w:r w:rsidR="002D2C2A">
        <w:rPr>
          <w:rFonts w:ascii="Palatino Linotype" w:hAnsi="Palatino Linotype" w:cs="Arial"/>
          <w:color w:val="000000" w:themeColor="text1"/>
        </w:rPr>
        <w:t>nta de Conciliación y Arbitraje, el nombre del actor, el número y estatus del expediente.</w:t>
      </w:r>
    </w:p>
    <w:p w:rsidR="0046796F" w:rsidRPr="002D2C2A" w:rsidRDefault="0046796F" w:rsidP="00A104B0">
      <w:pPr>
        <w:pStyle w:val="Prrafodelista"/>
        <w:numPr>
          <w:ilvl w:val="0"/>
          <w:numId w:val="1"/>
        </w:numPr>
        <w:spacing w:line="360" w:lineRule="auto"/>
        <w:jc w:val="both"/>
        <w:rPr>
          <w:rFonts w:ascii="Palatino Linotype" w:hAnsi="Palatino Linotype" w:cs="Arial"/>
          <w:color w:val="000000" w:themeColor="text1"/>
        </w:rPr>
      </w:pPr>
      <w:r w:rsidRPr="002955E3">
        <w:rPr>
          <w:rFonts w:ascii="Palatino Linotype" w:hAnsi="Palatino Linotype" w:cs="Arial"/>
          <w:color w:val="000000" w:themeColor="text1"/>
        </w:rPr>
        <w:t>Listado de expedientes tramitados ante el Tribunal Admi</w:t>
      </w:r>
      <w:r w:rsidR="002D2C2A">
        <w:rPr>
          <w:rFonts w:ascii="Palatino Linotype" w:hAnsi="Palatino Linotype" w:cs="Arial"/>
          <w:color w:val="000000" w:themeColor="text1"/>
        </w:rPr>
        <w:t>nistrativo del Estado de México, el nombre del actor, el número y estatus del expediente.</w:t>
      </w:r>
    </w:p>
    <w:p w:rsidR="0046796F" w:rsidRPr="002D2C2A" w:rsidRDefault="0046796F" w:rsidP="00A104B0">
      <w:pPr>
        <w:pStyle w:val="Prrafodelista"/>
        <w:numPr>
          <w:ilvl w:val="0"/>
          <w:numId w:val="1"/>
        </w:numPr>
        <w:spacing w:line="360" w:lineRule="auto"/>
        <w:jc w:val="both"/>
        <w:rPr>
          <w:rFonts w:ascii="Palatino Linotype" w:hAnsi="Palatino Linotype" w:cs="Arial"/>
          <w:color w:val="000000" w:themeColor="text1"/>
        </w:rPr>
      </w:pPr>
      <w:r w:rsidRPr="002955E3">
        <w:rPr>
          <w:rFonts w:ascii="Palatino Linotype" w:hAnsi="Palatino Linotype" w:cs="Arial"/>
          <w:color w:val="000000" w:themeColor="text1"/>
        </w:rPr>
        <w:t>Listado de expedientes en m</w:t>
      </w:r>
      <w:r w:rsidR="002D2C2A">
        <w:rPr>
          <w:rFonts w:ascii="Palatino Linotype" w:hAnsi="Palatino Linotype" w:cs="Arial"/>
          <w:color w:val="000000" w:themeColor="text1"/>
        </w:rPr>
        <w:t>ateria penal, civil y mercantil, el nombre del actor, el número y estatus del expediente.</w:t>
      </w:r>
    </w:p>
    <w:p w:rsidR="00A104B0" w:rsidRPr="00ED5CBD" w:rsidRDefault="00A104B0" w:rsidP="00A104B0">
      <w:pPr>
        <w:spacing w:line="360" w:lineRule="auto"/>
        <w:ind w:right="49"/>
        <w:jc w:val="both"/>
        <w:rPr>
          <w:rFonts w:ascii="Palatino Linotype" w:hAnsi="Palatino Linotype" w:cs="Arial"/>
          <w:sz w:val="10"/>
          <w:szCs w:val="10"/>
        </w:rPr>
      </w:pPr>
    </w:p>
    <w:p w:rsidR="0046796F" w:rsidRDefault="004900F4" w:rsidP="00A104B0">
      <w:pPr>
        <w:spacing w:line="360" w:lineRule="auto"/>
        <w:ind w:right="49"/>
        <w:jc w:val="both"/>
        <w:rPr>
          <w:rFonts w:ascii="Palatino Linotype" w:hAnsi="Palatino Linotype" w:cs="Arial"/>
        </w:rPr>
      </w:pPr>
      <w:r w:rsidRPr="002955E3">
        <w:rPr>
          <w:rFonts w:ascii="Palatino Linotype" w:hAnsi="Palatino Linotype" w:cs="Arial"/>
        </w:rPr>
        <w:t>D</w:t>
      </w:r>
      <w:r w:rsidR="002D2C2A">
        <w:rPr>
          <w:rFonts w:ascii="Palatino Linotype" w:hAnsi="Palatino Linotype" w:cs="Arial"/>
        </w:rPr>
        <w:t xml:space="preserve">e los </w:t>
      </w:r>
      <w:r w:rsidRPr="002955E3">
        <w:rPr>
          <w:rFonts w:ascii="Palatino Linotype" w:hAnsi="Palatino Linotype" w:cs="Arial"/>
        </w:rPr>
        <w:t>expediente</w:t>
      </w:r>
      <w:r w:rsidR="002D2C2A">
        <w:rPr>
          <w:rFonts w:ascii="Palatino Linotype" w:hAnsi="Palatino Linotype" w:cs="Arial"/>
        </w:rPr>
        <w:t>s</w:t>
      </w:r>
      <w:r w:rsidRPr="002955E3">
        <w:rPr>
          <w:rFonts w:ascii="Palatino Linotype" w:hAnsi="Palatino Linotype" w:cs="Arial"/>
        </w:rPr>
        <w:t xml:space="preserve"> electrónico</w:t>
      </w:r>
      <w:r w:rsidR="002D2C2A">
        <w:rPr>
          <w:rFonts w:ascii="Palatino Linotype" w:hAnsi="Palatino Linotype" w:cs="Arial"/>
        </w:rPr>
        <w:t>s</w:t>
      </w:r>
      <w:r w:rsidRPr="002955E3">
        <w:rPr>
          <w:rFonts w:ascii="Palatino Linotype" w:hAnsi="Palatino Linotype" w:cs="Arial"/>
        </w:rPr>
        <w:t xml:space="preserve"> del Sistema de Acceso a la Información Mexiquense, </w:t>
      </w:r>
      <w:r w:rsidRPr="002955E3">
        <w:rPr>
          <w:rFonts w:ascii="Palatino Linotype" w:hAnsi="Palatino Linotype" w:cs="Arial"/>
          <w:b/>
        </w:rPr>
        <w:t xml:space="preserve">SAIMEX, </w:t>
      </w:r>
      <w:r w:rsidRPr="002955E3">
        <w:rPr>
          <w:rFonts w:ascii="Palatino Linotype" w:hAnsi="Palatino Linotype" w:cs="Arial"/>
        </w:rPr>
        <w:t xml:space="preserve">se advierte que </w:t>
      </w:r>
      <w:r w:rsidRPr="002955E3">
        <w:rPr>
          <w:rFonts w:ascii="Palatino Linotype" w:hAnsi="Palatino Linotype" w:cs="Arial"/>
          <w:b/>
        </w:rPr>
        <w:t>EL SUJETO OBLIGADO</w:t>
      </w:r>
      <w:r w:rsidRPr="002955E3">
        <w:rPr>
          <w:rFonts w:ascii="Palatino Linotype" w:hAnsi="Palatino Linotype" w:cs="Arial"/>
        </w:rPr>
        <w:t xml:space="preserve">, en </w:t>
      </w:r>
      <w:r w:rsidR="0046796F" w:rsidRPr="002955E3">
        <w:rPr>
          <w:rFonts w:ascii="Palatino Linotype" w:hAnsi="Palatino Linotype" w:cs="Arial"/>
        </w:rPr>
        <w:t xml:space="preserve">sus </w:t>
      </w:r>
      <w:r w:rsidRPr="002955E3">
        <w:rPr>
          <w:rFonts w:ascii="Palatino Linotype" w:hAnsi="Palatino Linotype" w:cs="Arial"/>
        </w:rPr>
        <w:t>respuesta</w:t>
      </w:r>
      <w:r w:rsidR="0046796F" w:rsidRPr="002955E3">
        <w:rPr>
          <w:rFonts w:ascii="Palatino Linotype" w:hAnsi="Palatino Linotype" w:cs="Arial"/>
        </w:rPr>
        <w:t>s</w:t>
      </w:r>
      <w:r w:rsidRPr="002955E3">
        <w:rPr>
          <w:rFonts w:ascii="Palatino Linotype" w:hAnsi="Palatino Linotype" w:cs="Arial"/>
        </w:rPr>
        <w:t xml:space="preserve"> </w:t>
      </w:r>
      <w:r w:rsidR="0046796F" w:rsidRPr="002955E3">
        <w:rPr>
          <w:rFonts w:ascii="Palatino Linotype" w:hAnsi="Palatino Linotype" w:cs="Arial"/>
        </w:rPr>
        <w:t xml:space="preserve">manifestó que la información solicitada se encontraba inmersa en un índice de expedientes, que conforme al artículo 140 de la Ley de Transparencia y Acceso a la Información Pública del Estado de México y Municipios, se consideraba clasificado como </w:t>
      </w:r>
      <w:r w:rsidR="002D2C2A">
        <w:rPr>
          <w:rFonts w:ascii="Palatino Linotype" w:hAnsi="Palatino Linotype" w:cs="Arial"/>
        </w:rPr>
        <w:t xml:space="preserve">información </w:t>
      </w:r>
      <w:r w:rsidR="0046796F" w:rsidRPr="002955E3">
        <w:rPr>
          <w:rFonts w:ascii="Palatino Linotype" w:hAnsi="Palatino Linotype" w:cs="Arial"/>
        </w:rPr>
        <w:t>reservad</w:t>
      </w:r>
      <w:r w:rsidR="002D2C2A">
        <w:rPr>
          <w:rFonts w:ascii="Palatino Linotype" w:hAnsi="Palatino Linotype" w:cs="Arial"/>
        </w:rPr>
        <w:t>a;</w:t>
      </w:r>
      <w:r w:rsidR="0046796F" w:rsidRPr="002955E3">
        <w:rPr>
          <w:rFonts w:ascii="Palatino Linotype" w:hAnsi="Palatino Linotype" w:cs="Arial"/>
        </w:rPr>
        <w:t xml:space="preserve"> </w:t>
      </w:r>
      <w:r w:rsidR="002D2C2A">
        <w:rPr>
          <w:rFonts w:ascii="Palatino Linotype" w:hAnsi="Palatino Linotype" w:cs="Arial"/>
        </w:rPr>
        <w:t xml:space="preserve">por su parte, </w:t>
      </w:r>
      <w:r w:rsidR="0046796F" w:rsidRPr="002955E3">
        <w:rPr>
          <w:rFonts w:ascii="Palatino Linotype" w:hAnsi="Palatino Linotype" w:cs="Arial"/>
        </w:rPr>
        <w:t>la Contralora Interna Municipal, argumentó no contar con expedientes tramitados ante el Tribunal Administrativo del Estado de México.</w:t>
      </w:r>
    </w:p>
    <w:p w:rsidR="00A104B0" w:rsidRPr="00ED5CBD" w:rsidRDefault="00A104B0" w:rsidP="00A104B0">
      <w:pPr>
        <w:spacing w:line="360" w:lineRule="auto"/>
        <w:ind w:right="49"/>
        <w:jc w:val="both"/>
        <w:rPr>
          <w:rFonts w:ascii="Palatino Linotype" w:hAnsi="Palatino Linotype" w:cs="Arial"/>
          <w:sz w:val="10"/>
          <w:szCs w:val="10"/>
        </w:rPr>
      </w:pPr>
    </w:p>
    <w:p w:rsidR="004900F4" w:rsidRDefault="004900F4" w:rsidP="00A104B0">
      <w:pPr>
        <w:spacing w:line="360" w:lineRule="auto"/>
        <w:jc w:val="both"/>
        <w:rPr>
          <w:rFonts w:ascii="Palatino Linotype" w:hAnsi="Palatino Linotype" w:cs="Arial"/>
        </w:rPr>
      </w:pPr>
      <w:r w:rsidRPr="002955E3">
        <w:rPr>
          <w:rFonts w:ascii="Palatino Linotype" w:hAnsi="Palatino Linotype"/>
          <w:color w:val="000000"/>
          <w:lang w:val="es-MX" w:eastAsia="es-MX"/>
        </w:rPr>
        <w:t>Inconforme con la</w:t>
      </w:r>
      <w:r w:rsidR="0046796F" w:rsidRPr="002955E3">
        <w:rPr>
          <w:rFonts w:ascii="Palatino Linotype" w:hAnsi="Palatino Linotype"/>
          <w:color w:val="000000"/>
          <w:lang w:val="es-MX" w:eastAsia="es-MX"/>
        </w:rPr>
        <w:t>s</w:t>
      </w:r>
      <w:r w:rsidRPr="002955E3">
        <w:rPr>
          <w:rFonts w:ascii="Palatino Linotype" w:hAnsi="Palatino Linotype"/>
          <w:color w:val="000000"/>
          <w:lang w:val="es-MX" w:eastAsia="es-MX"/>
        </w:rPr>
        <w:t xml:space="preserve"> respuesta</w:t>
      </w:r>
      <w:r w:rsidR="0046796F" w:rsidRPr="002955E3">
        <w:rPr>
          <w:rFonts w:ascii="Palatino Linotype" w:hAnsi="Palatino Linotype"/>
          <w:color w:val="000000"/>
          <w:lang w:val="es-MX" w:eastAsia="es-MX"/>
        </w:rPr>
        <w:t>s</w:t>
      </w:r>
      <w:r w:rsidRPr="002955E3">
        <w:rPr>
          <w:rFonts w:ascii="Palatino Linotype" w:hAnsi="Palatino Linotype"/>
          <w:color w:val="000000"/>
          <w:lang w:val="es-MX" w:eastAsia="es-MX"/>
        </w:rPr>
        <w:t xml:space="preserve"> proporcionada</w:t>
      </w:r>
      <w:r w:rsidR="0046796F" w:rsidRPr="002955E3">
        <w:rPr>
          <w:rFonts w:ascii="Palatino Linotype" w:hAnsi="Palatino Linotype"/>
          <w:color w:val="000000"/>
          <w:lang w:val="es-MX" w:eastAsia="es-MX"/>
        </w:rPr>
        <w:t>s</w:t>
      </w:r>
      <w:r w:rsidRPr="002955E3">
        <w:rPr>
          <w:rFonts w:ascii="Palatino Linotype" w:hAnsi="Palatino Linotype"/>
          <w:color w:val="000000"/>
          <w:lang w:val="es-MX" w:eastAsia="es-MX"/>
        </w:rPr>
        <w:t xml:space="preserve">, </w:t>
      </w:r>
      <w:r w:rsidRPr="002955E3">
        <w:rPr>
          <w:rFonts w:ascii="Palatino Linotype" w:hAnsi="Palatino Linotype"/>
          <w:b/>
          <w:color w:val="000000"/>
          <w:lang w:val="es-MX" w:eastAsia="es-MX"/>
        </w:rPr>
        <w:t>EL RECURRENTE</w:t>
      </w:r>
      <w:r w:rsidRPr="002955E3">
        <w:rPr>
          <w:rFonts w:ascii="Palatino Linotype" w:hAnsi="Palatino Linotype"/>
          <w:color w:val="000000"/>
          <w:lang w:val="es-MX" w:eastAsia="es-MX"/>
        </w:rPr>
        <w:t xml:space="preserve"> </w:t>
      </w:r>
      <w:r w:rsidR="0046796F" w:rsidRPr="002955E3">
        <w:rPr>
          <w:rFonts w:ascii="Palatino Linotype" w:hAnsi="Palatino Linotype" w:cs="Arial"/>
        </w:rPr>
        <w:t>interpuso los</w:t>
      </w:r>
      <w:r w:rsidRPr="002955E3">
        <w:rPr>
          <w:rFonts w:ascii="Palatino Linotype" w:hAnsi="Palatino Linotype" w:cs="Arial"/>
        </w:rPr>
        <w:t xml:space="preserve"> recurso</w:t>
      </w:r>
      <w:r w:rsidR="0046796F" w:rsidRPr="002955E3">
        <w:rPr>
          <w:rFonts w:ascii="Palatino Linotype" w:hAnsi="Palatino Linotype" w:cs="Arial"/>
        </w:rPr>
        <w:t>s</w:t>
      </w:r>
      <w:r w:rsidRPr="002955E3">
        <w:rPr>
          <w:rFonts w:ascii="Palatino Linotype" w:hAnsi="Palatino Linotype" w:cs="Arial"/>
        </w:rPr>
        <w:t xml:space="preserve"> de revisión de mérito, argumentando que la información solicitada </w:t>
      </w:r>
      <w:r w:rsidR="0046796F" w:rsidRPr="002955E3">
        <w:rPr>
          <w:rFonts w:ascii="Palatino Linotype" w:hAnsi="Palatino Linotype" w:cs="Arial"/>
        </w:rPr>
        <w:t xml:space="preserve">no </w:t>
      </w:r>
      <w:r w:rsidRPr="002955E3">
        <w:rPr>
          <w:rFonts w:ascii="Palatino Linotype" w:hAnsi="Palatino Linotype" w:cs="Arial"/>
        </w:rPr>
        <w:t xml:space="preserve">le fue </w:t>
      </w:r>
      <w:r w:rsidR="0046796F" w:rsidRPr="002955E3">
        <w:rPr>
          <w:rFonts w:ascii="Palatino Linotype" w:hAnsi="Palatino Linotype" w:cs="Arial"/>
        </w:rPr>
        <w:t>proporcionada.</w:t>
      </w:r>
    </w:p>
    <w:p w:rsidR="00A104B0" w:rsidRPr="00ED5CBD" w:rsidRDefault="00A104B0" w:rsidP="00A104B0">
      <w:pPr>
        <w:spacing w:line="360" w:lineRule="auto"/>
        <w:jc w:val="both"/>
        <w:rPr>
          <w:rFonts w:ascii="Palatino Linotype" w:hAnsi="Palatino Linotype" w:cs="Arial"/>
          <w:sz w:val="10"/>
          <w:szCs w:val="10"/>
        </w:rPr>
      </w:pPr>
    </w:p>
    <w:p w:rsidR="0046796F" w:rsidRDefault="0046796F" w:rsidP="00A104B0">
      <w:pPr>
        <w:spacing w:line="360" w:lineRule="auto"/>
        <w:jc w:val="both"/>
        <w:rPr>
          <w:rFonts w:ascii="Palatino Linotype" w:hAnsi="Palatino Linotype" w:cs="Arial"/>
        </w:rPr>
      </w:pPr>
      <w:r w:rsidRPr="002955E3">
        <w:rPr>
          <w:rFonts w:ascii="Palatino Linotype" w:hAnsi="Palatino Linotype" w:cs="Arial"/>
        </w:rPr>
        <w:t xml:space="preserve">Bajo ese tenor, </w:t>
      </w:r>
      <w:r w:rsidRPr="002955E3">
        <w:rPr>
          <w:rFonts w:ascii="Palatino Linotype" w:hAnsi="Palatino Linotype" w:cs="Arial"/>
          <w:b/>
        </w:rPr>
        <w:t xml:space="preserve">EL SUJETO OBLIGADO </w:t>
      </w:r>
      <w:r w:rsidRPr="002955E3">
        <w:rPr>
          <w:rFonts w:ascii="Palatino Linotype" w:hAnsi="Palatino Linotype" w:cs="Arial"/>
        </w:rPr>
        <w:t>fue omiso en proporcionar los Informes Justificados correspond</w:t>
      </w:r>
      <w:r w:rsidR="00C55947" w:rsidRPr="002955E3">
        <w:rPr>
          <w:rFonts w:ascii="Palatino Linotype" w:hAnsi="Palatino Linotype" w:cs="Arial"/>
        </w:rPr>
        <w:t>ientes.</w:t>
      </w:r>
    </w:p>
    <w:p w:rsidR="00A104B0" w:rsidRPr="00ED5CBD" w:rsidRDefault="00A104B0" w:rsidP="00A104B0">
      <w:pPr>
        <w:spacing w:line="360" w:lineRule="auto"/>
        <w:jc w:val="both"/>
        <w:rPr>
          <w:rFonts w:ascii="Palatino Linotype" w:hAnsi="Palatino Linotype" w:cs="Arial"/>
          <w:sz w:val="10"/>
          <w:szCs w:val="10"/>
        </w:rPr>
      </w:pPr>
    </w:p>
    <w:p w:rsidR="00C55947" w:rsidRDefault="004900F4" w:rsidP="00A104B0">
      <w:pPr>
        <w:spacing w:line="360" w:lineRule="auto"/>
        <w:ind w:right="49"/>
        <w:jc w:val="both"/>
        <w:rPr>
          <w:rFonts w:ascii="Palatino Linotype" w:hAnsi="Palatino Linotype" w:cs="Arial"/>
          <w:lang w:eastAsia="es-MX"/>
        </w:rPr>
      </w:pPr>
      <w:r w:rsidRPr="002955E3">
        <w:rPr>
          <w:rFonts w:ascii="Palatino Linotype" w:hAnsi="Palatino Linotype" w:cs="Arial"/>
        </w:rPr>
        <w:t>Así, del estudio d</w:t>
      </w:r>
      <w:r w:rsidRPr="002955E3">
        <w:rPr>
          <w:rFonts w:ascii="Palatino Linotype" w:hAnsi="Palatino Linotype"/>
        </w:rPr>
        <w:t>el expediente electrónico</w:t>
      </w:r>
      <w:r w:rsidRPr="002955E3">
        <w:rPr>
          <w:rFonts w:ascii="Palatino Linotype" w:hAnsi="Palatino Linotype" w:cs="Arial"/>
        </w:rPr>
        <w:t xml:space="preserve"> la Ponencia Resolutora determinó </w:t>
      </w:r>
      <w:r w:rsidR="00C55947" w:rsidRPr="002955E3">
        <w:rPr>
          <w:rFonts w:ascii="Palatino Linotype" w:hAnsi="Palatino Linotype" w:cs="Arial"/>
          <w:b/>
        </w:rPr>
        <w:t>REVOCAR</w:t>
      </w:r>
      <w:r w:rsidRPr="002955E3">
        <w:rPr>
          <w:rFonts w:ascii="Palatino Linotype" w:hAnsi="Palatino Linotype" w:cs="Arial"/>
        </w:rPr>
        <w:t xml:space="preserve"> </w:t>
      </w:r>
      <w:r w:rsidR="00C55947" w:rsidRPr="002955E3">
        <w:rPr>
          <w:rFonts w:ascii="Palatino Linotype" w:hAnsi="Palatino Linotype" w:cs="Arial"/>
        </w:rPr>
        <w:t xml:space="preserve">la respuesta del </w:t>
      </w:r>
      <w:r w:rsidR="00C55947" w:rsidRPr="002955E3">
        <w:rPr>
          <w:rFonts w:ascii="Palatino Linotype" w:hAnsi="Palatino Linotype" w:cs="Arial"/>
          <w:b/>
        </w:rPr>
        <w:t xml:space="preserve">SUJETO OBLIGADO </w:t>
      </w:r>
      <w:r w:rsidR="00C55947" w:rsidRPr="002955E3">
        <w:rPr>
          <w:rFonts w:ascii="Palatino Linotype" w:hAnsi="Palatino Linotype" w:cs="Arial"/>
        </w:rPr>
        <w:t xml:space="preserve">y ordenar la entrega vía SAIMEX, </w:t>
      </w:r>
      <w:r w:rsidR="00C55947" w:rsidRPr="002955E3">
        <w:rPr>
          <w:rFonts w:ascii="Palatino Linotype" w:hAnsi="Palatino Linotype" w:cs="Arial"/>
          <w:lang w:eastAsia="es-MX"/>
        </w:rPr>
        <w:t>en versión pública de ser procedente, de lo siguiente:</w:t>
      </w:r>
    </w:p>
    <w:p w:rsidR="00C55947" w:rsidRDefault="00C55947" w:rsidP="00A104B0">
      <w:pPr>
        <w:autoSpaceDE w:val="0"/>
        <w:autoSpaceDN w:val="0"/>
        <w:adjustRightInd w:val="0"/>
        <w:ind w:left="851" w:right="899"/>
        <w:jc w:val="both"/>
        <w:rPr>
          <w:rFonts w:ascii="Palatino Linotype" w:hAnsi="Palatino Linotype" w:cs="Arial"/>
          <w:i/>
          <w:sz w:val="22"/>
          <w:szCs w:val="22"/>
          <w:lang w:eastAsia="es-MX"/>
        </w:rPr>
      </w:pPr>
      <w:r w:rsidRPr="002955E3">
        <w:rPr>
          <w:rFonts w:ascii="Palatino Linotype" w:hAnsi="Palatino Linotype" w:cs="Arial"/>
          <w:i/>
          <w:sz w:val="22"/>
          <w:szCs w:val="22"/>
          <w:lang w:eastAsia="es-MX"/>
        </w:rPr>
        <w:lastRenderedPageBreak/>
        <w:t>Por el periodo comprendido del 6 de noviembre de 2017 al 6 de noviembre de 2018</w:t>
      </w:r>
    </w:p>
    <w:p w:rsidR="002955E3" w:rsidRPr="00ED5CBD" w:rsidRDefault="002955E3" w:rsidP="00A104B0">
      <w:pPr>
        <w:autoSpaceDE w:val="0"/>
        <w:autoSpaceDN w:val="0"/>
        <w:adjustRightInd w:val="0"/>
        <w:ind w:left="851" w:right="899"/>
        <w:jc w:val="both"/>
        <w:rPr>
          <w:rFonts w:ascii="Palatino Linotype" w:hAnsi="Palatino Linotype" w:cs="Arial"/>
          <w:i/>
          <w:sz w:val="10"/>
          <w:szCs w:val="10"/>
          <w:lang w:eastAsia="es-MX"/>
        </w:rPr>
      </w:pPr>
    </w:p>
    <w:p w:rsidR="00C55947" w:rsidRPr="002955E3" w:rsidRDefault="00C55947" w:rsidP="00A104B0">
      <w:pPr>
        <w:pStyle w:val="Prrafodelista"/>
        <w:numPr>
          <w:ilvl w:val="0"/>
          <w:numId w:val="2"/>
        </w:numPr>
        <w:ind w:left="1418" w:right="899" w:hanging="142"/>
        <w:jc w:val="both"/>
        <w:rPr>
          <w:rFonts w:ascii="Palatino Linotype" w:hAnsi="Palatino Linotype" w:cs="Arial"/>
          <w:i/>
          <w:sz w:val="22"/>
          <w:szCs w:val="22"/>
        </w:rPr>
      </w:pPr>
      <w:r w:rsidRPr="002955E3">
        <w:rPr>
          <w:rFonts w:ascii="Palatino Linotype" w:hAnsi="Palatino Linotype" w:cs="Arial"/>
          <w:i/>
          <w:sz w:val="22"/>
          <w:szCs w:val="22"/>
        </w:rPr>
        <w:t>El o los documentos en donde conste o de los cuales se pueda advertir el listado de expedientes tramitados ante el Tribunal Estatal de Conciliación y Arbitraje, la Junta de Conciliación y Arbitraje, el Tribunal de Justicia Administrativa del Estado de México y aquellos en materia Civil, Mercantil y Penal, en el que se encuentre inmerso el número de expediente, el estado en el que se encuentran, así como la fecha de inicio y culminación.</w:t>
      </w:r>
    </w:p>
    <w:p w:rsidR="00ED5CBD" w:rsidRPr="00ED5CBD" w:rsidRDefault="00ED5CBD" w:rsidP="00A104B0">
      <w:pPr>
        <w:pStyle w:val="Prrafodelista"/>
        <w:ind w:left="851" w:right="899"/>
        <w:jc w:val="both"/>
        <w:rPr>
          <w:rFonts w:ascii="Palatino Linotype" w:hAnsi="Palatino Linotype" w:cs="Arial"/>
          <w:i/>
          <w:sz w:val="10"/>
          <w:szCs w:val="10"/>
          <w:lang w:val="es-ES_tradnl"/>
        </w:rPr>
      </w:pPr>
    </w:p>
    <w:p w:rsidR="00C55947" w:rsidRPr="002955E3" w:rsidRDefault="00C55947" w:rsidP="00A104B0">
      <w:pPr>
        <w:pStyle w:val="Prrafodelista"/>
        <w:ind w:left="851" w:right="899"/>
        <w:jc w:val="both"/>
        <w:rPr>
          <w:rFonts w:ascii="Palatino Linotype" w:hAnsi="Palatino Linotype"/>
          <w:i/>
          <w:sz w:val="22"/>
          <w:szCs w:val="22"/>
          <w:lang w:val="es-ES_tradnl"/>
        </w:rPr>
      </w:pPr>
      <w:r w:rsidRPr="002955E3">
        <w:rPr>
          <w:rFonts w:ascii="Palatino Linotype" w:hAnsi="Palatino Linotype" w:cs="Arial"/>
          <w:i/>
          <w:sz w:val="22"/>
          <w:szCs w:val="22"/>
          <w:lang w:val="es-ES_tradnl"/>
        </w:rPr>
        <w:t xml:space="preserve">Por lo que hace a los datos susceptibles de clasificar, se deberá generar la versión pública correspondiente y notificar el acuerdo de clasificación que respalde la versión pública </w:t>
      </w:r>
      <w:r w:rsidRPr="002955E3">
        <w:rPr>
          <w:rFonts w:ascii="Palatino Linotype" w:hAnsi="Palatino Linotype"/>
          <w:i/>
          <w:sz w:val="22"/>
          <w:szCs w:val="22"/>
          <w:lang w:val="es-ES_tradnl"/>
        </w:rPr>
        <w:t xml:space="preserve">en términos de lo señalado en el Considerando Cuarto y en los artículos </w:t>
      </w:r>
      <w:r w:rsidRPr="002955E3">
        <w:rPr>
          <w:rFonts w:ascii="Palatino Linotype" w:hAnsi="Palatino Linotype" w:cs="Arial"/>
          <w:i/>
          <w:sz w:val="22"/>
          <w:szCs w:val="22"/>
        </w:rPr>
        <w:t xml:space="preserve">49 fracción VIII, 132 fracción II </w:t>
      </w:r>
      <w:r w:rsidRPr="002955E3">
        <w:rPr>
          <w:rFonts w:ascii="Palatino Linotype" w:hAnsi="Palatino Linotype"/>
          <w:i/>
          <w:sz w:val="22"/>
          <w:szCs w:val="22"/>
          <w:lang w:val="es-ES_tradnl"/>
        </w:rPr>
        <w:t>de la Ley de Transparencia y Acceso a la Información Pública del Estado de México y Municipios y demás normatividad aplicable.</w:t>
      </w:r>
    </w:p>
    <w:p w:rsidR="00C55947" w:rsidRPr="002955E3" w:rsidRDefault="00C55947" w:rsidP="00A104B0">
      <w:pPr>
        <w:pStyle w:val="Prrafodelista"/>
        <w:ind w:left="851" w:right="899"/>
        <w:jc w:val="both"/>
        <w:rPr>
          <w:rFonts w:ascii="Palatino Linotype" w:hAnsi="Palatino Linotype" w:cs="Arial"/>
          <w:i/>
          <w:sz w:val="22"/>
          <w:szCs w:val="22"/>
        </w:rPr>
      </w:pPr>
    </w:p>
    <w:p w:rsidR="00C55947" w:rsidRPr="002955E3" w:rsidRDefault="00C55947" w:rsidP="00A104B0">
      <w:pPr>
        <w:pStyle w:val="Prrafodelista"/>
        <w:ind w:left="851" w:right="899"/>
        <w:jc w:val="both"/>
        <w:rPr>
          <w:rFonts w:ascii="Palatino Linotype" w:hAnsi="Palatino Linotype" w:cs="Arial"/>
          <w:i/>
          <w:sz w:val="22"/>
          <w:szCs w:val="22"/>
        </w:rPr>
      </w:pPr>
      <w:r w:rsidRPr="002955E3">
        <w:rPr>
          <w:rFonts w:ascii="Palatino Linotype" w:hAnsi="Palatino Linotype" w:cs="Arial"/>
          <w:i/>
          <w:sz w:val="22"/>
          <w:szCs w:val="22"/>
        </w:rPr>
        <w:t>En caso de que algún expediente aun no haya concluido bastara con que lo manifieste el sujeto obligado.</w:t>
      </w:r>
    </w:p>
    <w:p w:rsidR="00A104B0" w:rsidRPr="00ED5CBD" w:rsidRDefault="00A104B0" w:rsidP="00A104B0">
      <w:pPr>
        <w:spacing w:line="360" w:lineRule="auto"/>
        <w:jc w:val="both"/>
        <w:rPr>
          <w:rFonts w:ascii="Palatino Linotype" w:hAnsi="Palatino Linotype" w:cs="Arial"/>
          <w:sz w:val="10"/>
          <w:szCs w:val="10"/>
          <w:lang w:val="es-MX"/>
        </w:rPr>
      </w:pPr>
    </w:p>
    <w:p w:rsidR="00C238E8" w:rsidRDefault="004900F4" w:rsidP="00A104B0">
      <w:pPr>
        <w:spacing w:line="360" w:lineRule="auto"/>
        <w:jc w:val="both"/>
        <w:rPr>
          <w:rFonts w:ascii="Palatino Linotype" w:hAnsi="Palatino Linotype" w:cs="Arial"/>
          <w:b/>
          <w:lang w:val="es-MX"/>
        </w:rPr>
      </w:pPr>
      <w:r w:rsidRPr="002955E3">
        <w:rPr>
          <w:rFonts w:ascii="Palatino Linotype" w:hAnsi="Palatino Linotype" w:cs="Arial"/>
          <w:lang w:val="es-MX"/>
        </w:rPr>
        <w:t>En ese sentido, la que suscribe si bien coincide en términos generales con las causas que dieron origen a</w:t>
      </w:r>
      <w:r w:rsidR="00C55947" w:rsidRPr="002955E3">
        <w:rPr>
          <w:rFonts w:ascii="Palatino Linotype" w:hAnsi="Palatino Linotype" w:cs="Arial"/>
          <w:lang w:val="es-MX"/>
        </w:rPr>
        <w:t xml:space="preserve"> </w:t>
      </w:r>
      <w:r w:rsidRPr="002955E3">
        <w:rPr>
          <w:rFonts w:ascii="Palatino Linotype" w:hAnsi="Palatino Linotype" w:cs="Arial"/>
          <w:lang w:val="es-MX"/>
        </w:rPr>
        <w:t>l</w:t>
      </w:r>
      <w:r w:rsidR="00C55947" w:rsidRPr="002955E3">
        <w:rPr>
          <w:rFonts w:ascii="Palatino Linotype" w:hAnsi="Palatino Linotype" w:cs="Arial"/>
          <w:lang w:val="es-MX"/>
        </w:rPr>
        <w:t>os</w:t>
      </w:r>
      <w:r w:rsidRPr="002955E3">
        <w:rPr>
          <w:rFonts w:ascii="Palatino Linotype" w:hAnsi="Palatino Linotype" w:cs="Arial"/>
          <w:lang w:val="es-MX"/>
        </w:rPr>
        <w:t xml:space="preserve"> recurso</w:t>
      </w:r>
      <w:r w:rsidR="00C55947" w:rsidRPr="002955E3">
        <w:rPr>
          <w:rFonts w:ascii="Palatino Linotype" w:hAnsi="Palatino Linotype" w:cs="Arial"/>
          <w:lang w:val="es-MX"/>
        </w:rPr>
        <w:t>s de revisión en comento</w:t>
      </w:r>
      <w:r w:rsidR="002D2C2A">
        <w:rPr>
          <w:rFonts w:ascii="Palatino Linotype" w:hAnsi="Palatino Linotype" w:cs="Arial"/>
          <w:lang w:val="es-MX"/>
        </w:rPr>
        <w:t xml:space="preserve">, </w:t>
      </w:r>
      <w:r w:rsidRPr="002955E3">
        <w:rPr>
          <w:rFonts w:ascii="Palatino Linotype" w:hAnsi="Palatino Linotype" w:cs="Arial"/>
          <w:lang w:val="es-MX"/>
        </w:rPr>
        <w:t>c</w:t>
      </w:r>
      <w:r w:rsidR="00C55947" w:rsidRPr="002955E3">
        <w:rPr>
          <w:rFonts w:ascii="Palatino Linotype" w:hAnsi="Palatino Linotype" w:cs="Arial"/>
          <w:lang w:val="es-MX"/>
        </w:rPr>
        <w:t xml:space="preserve">onsidero necesario </w:t>
      </w:r>
      <w:r w:rsidR="00C238E8" w:rsidRPr="002955E3">
        <w:rPr>
          <w:rFonts w:ascii="Palatino Linotype" w:hAnsi="Palatino Linotype" w:cs="Arial"/>
          <w:lang w:val="es-MX"/>
        </w:rPr>
        <w:t xml:space="preserve">realizar algunas precisiones </w:t>
      </w:r>
      <w:r w:rsidR="002D2C2A">
        <w:rPr>
          <w:rFonts w:ascii="Palatino Linotype" w:hAnsi="Palatino Linotype" w:cs="Arial"/>
          <w:lang w:val="es-MX"/>
        </w:rPr>
        <w:t xml:space="preserve">respecto de la </w:t>
      </w:r>
      <w:r w:rsidR="00C238E8" w:rsidRPr="002955E3">
        <w:rPr>
          <w:rFonts w:ascii="Palatino Linotype" w:hAnsi="Palatino Linotype" w:cs="Arial"/>
          <w:lang w:val="es-MX"/>
        </w:rPr>
        <w:t xml:space="preserve">información de la que se ordena </w:t>
      </w:r>
      <w:r w:rsidR="002D2C2A">
        <w:rPr>
          <w:rFonts w:ascii="Palatino Linotype" w:hAnsi="Palatino Linotype" w:cs="Arial"/>
          <w:lang w:val="es-MX"/>
        </w:rPr>
        <w:t xml:space="preserve">la </w:t>
      </w:r>
      <w:r w:rsidR="00C238E8" w:rsidRPr="002955E3">
        <w:rPr>
          <w:rFonts w:ascii="Palatino Linotype" w:hAnsi="Palatino Linotype" w:cs="Arial"/>
          <w:lang w:val="es-MX"/>
        </w:rPr>
        <w:t xml:space="preserve">entrega. Lo anterior, debido a que </w:t>
      </w:r>
      <w:r w:rsidR="00D72F45" w:rsidRPr="002955E3">
        <w:rPr>
          <w:rFonts w:ascii="Palatino Linotype" w:hAnsi="Palatino Linotype" w:cs="Arial"/>
          <w:lang w:val="es-MX"/>
        </w:rPr>
        <w:t xml:space="preserve">el particular solicitó el listado de expedientes tramitados en materia </w:t>
      </w:r>
      <w:r w:rsidR="002D2C2A">
        <w:rPr>
          <w:rFonts w:ascii="Palatino Linotype" w:hAnsi="Palatino Linotype" w:cs="Arial"/>
          <w:lang w:val="es-MX"/>
        </w:rPr>
        <w:t xml:space="preserve">administrativa, </w:t>
      </w:r>
      <w:r w:rsidR="00D72F45" w:rsidRPr="002955E3">
        <w:rPr>
          <w:rFonts w:ascii="Palatino Linotype" w:hAnsi="Palatino Linotype" w:cs="Arial"/>
          <w:lang w:val="es-MX"/>
        </w:rPr>
        <w:t xml:space="preserve">civil, mercantil y penal en los que </w:t>
      </w:r>
      <w:r w:rsidR="00D72F45" w:rsidRPr="002955E3">
        <w:rPr>
          <w:rFonts w:ascii="Palatino Linotype" w:hAnsi="Palatino Linotype" w:cs="Arial"/>
          <w:b/>
          <w:lang w:val="es-MX"/>
        </w:rPr>
        <w:t xml:space="preserve">EL SUJETO OBLIGADO </w:t>
      </w:r>
      <w:r w:rsidR="00D72F45" w:rsidRPr="002955E3">
        <w:rPr>
          <w:rFonts w:ascii="Palatino Linotype" w:hAnsi="Palatino Linotype" w:cs="Arial"/>
          <w:lang w:val="es-MX"/>
        </w:rPr>
        <w:t>sea parte</w:t>
      </w:r>
      <w:r w:rsidR="002D2C2A">
        <w:rPr>
          <w:rFonts w:ascii="Palatino Linotype" w:hAnsi="Palatino Linotype" w:cs="Arial"/>
          <w:lang w:val="es-MX"/>
        </w:rPr>
        <w:t>, debiendo incluir en dicho listado el nombre de la parte actora, el número y estatus del expediente</w:t>
      </w:r>
      <w:r w:rsidR="00D37B55">
        <w:rPr>
          <w:rFonts w:ascii="Palatino Linotype" w:hAnsi="Palatino Linotype" w:cs="Arial"/>
          <w:lang w:val="es-MX"/>
        </w:rPr>
        <w:t xml:space="preserve"> correspondiente, a lo que, </w:t>
      </w:r>
      <w:r w:rsidR="00D72F45" w:rsidRPr="002955E3">
        <w:rPr>
          <w:rFonts w:ascii="Palatino Linotype" w:hAnsi="Palatino Linotype" w:cs="Arial"/>
          <w:lang w:val="es-MX"/>
        </w:rPr>
        <w:t xml:space="preserve">la Ponencia Resolutora determinó ordenar la entrega de los mismos refiriendo que para el caso de que algún expediente no hubiera concluido </w:t>
      </w:r>
      <w:r w:rsidR="002D2C2A">
        <w:rPr>
          <w:rFonts w:ascii="Palatino Linotype" w:hAnsi="Palatino Linotype" w:cs="Arial"/>
          <w:lang w:val="es-MX"/>
        </w:rPr>
        <w:t xml:space="preserve">a la fecha de la solicitud de información, </w:t>
      </w:r>
      <w:r w:rsidR="00D72F45" w:rsidRPr="002955E3">
        <w:rPr>
          <w:rFonts w:ascii="Palatino Linotype" w:hAnsi="Palatino Linotype" w:cs="Arial"/>
          <w:lang w:val="es-MX"/>
        </w:rPr>
        <w:t>basta</w:t>
      </w:r>
      <w:r w:rsidR="002D2C2A">
        <w:rPr>
          <w:rFonts w:ascii="Palatino Linotype" w:hAnsi="Palatino Linotype" w:cs="Arial"/>
          <w:lang w:val="es-MX"/>
        </w:rPr>
        <w:t>ba con que así lo manifestara</w:t>
      </w:r>
      <w:r w:rsidR="00D72F45" w:rsidRPr="002955E3">
        <w:rPr>
          <w:rFonts w:ascii="Palatino Linotype" w:hAnsi="Palatino Linotype" w:cs="Arial"/>
          <w:lang w:val="es-MX"/>
        </w:rPr>
        <w:t xml:space="preserve">; sin embargo, a consideración de la suscrita, lo procedente era que tanto en estudio como en Resolutivos la Ponencia Resolutora precisara al </w:t>
      </w:r>
      <w:r w:rsidR="00D72F45" w:rsidRPr="002955E3">
        <w:rPr>
          <w:rFonts w:ascii="Palatino Linotype" w:hAnsi="Palatino Linotype" w:cs="Arial"/>
          <w:b/>
          <w:lang w:val="es-MX"/>
        </w:rPr>
        <w:t xml:space="preserve">SUJETO OBLIGADO </w:t>
      </w:r>
      <w:r w:rsidR="00D72F45" w:rsidRPr="002955E3">
        <w:rPr>
          <w:rFonts w:ascii="Palatino Linotype" w:hAnsi="Palatino Linotype" w:cs="Arial"/>
          <w:lang w:val="es-MX"/>
        </w:rPr>
        <w:t xml:space="preserve">que para el caso de que alguno de los expedientes en materia </w:t>
      </w:r>
      <w:r w:rsidR="002D2C2A">
        <w:rPr>
          <w:rFonts w:ascii="Palatino Linotype" w:hAnsi="Palatino Linotype" w:cs="Arial"/>
          <w:lang w:val="es-MX"/>
        </w:rPr>
        <w:t xml:space="preserve">administrativa, </w:t>
      </w:r>
      <w:r w:rsidR="00D72F45" w:rsidRPr="002955E3">
        <w:rPr>
          <w:rFonts w:ascii="Palatino Linotype" w:hAnsi="Palatino Linotype" w:cs="Arial"/>
          <w:lang w:val="es-MX"/>
        </w:rPr>
        <w:t xml:space="preserve">civil, mercantil y penal a la fecha de presentación de la solicitud de </w:t>
      </w:r>
      <w:r w:rsidR="00D72F45" w:rsidRPr="002955E3">
        <w:rPr>
          <w:rFonts w:ascii="Palatino Linotype" w:hAnsi="Palatino Linotype" w:cs="Arial"/>
          <w:lang w:val="es-MX"/>
        </w:rPr>
        <w:lastRenderedPageBreak/>
        <w:t xml:space="preserve">información no hubiera causado estado, debía entregar el Acuerdo de Clasificación de la información como reservada y notificarlo al hoy </w:t>
      </w:r>
      <w:r w:rsidR="00D72F45" w:rsidRPr="002955E3">
        <w:rPr>
          <w:rFonts w:ascii="Palatino Linotype" w:hAnsi="Palatino Linotype" w:cs="Arial"/>
          <w:b/>
          <w:lang w:val="es-MX"/>
        </w:rPr>
        <w:t>RECURRENTE.</w:t>
      </w:r>
    </w:p>
    <w:p w:rsidR="00A104B0" w:rsidRPr="00ED5CBD" w:rsidRDefault="00A104B0" w:rsidP="00A104B0">
      <w:pPr>
        <w:spacing w:line="360" w:lineRule="auto"/>
        <w:jc w:val="both"/>
        <w:rPr>
          <w:rFonts w:ascii="Palatino Linotype" w:hAnsi="Palatino Linotype" w:cs="Arial"/>
          <w:b/>
          <w:sz w:val="10"/>
          <w:szCs w:val="10"/>
          <w:lang w:val="es-MX"/>
        </w:rPr>
      </w:pPr>
    </w:p>
    <w:p w:rsidR="00D72F45" w:rsidRDefault="00D72F45" w:rsidP="00A104B0">
      <w:pPr>
        <w:spacing w:line="360" w:lineRule="auto"/>
        <w:jc w:val="both"/>
        <w:rPr>
          <w:rFonts w:ascii="Palatino Linotype" w:hAnsi="Palatino Linotype" w:cs="Arial"/>
        </w:rPr>
      </w:pPr>
      <w:r w:rsidRPr="002955E3">
        <w:rPr>
          <w:rFonts w:ascii="Palatino Linotype" w:hAnsi="Palatino Linotype" w:cs="Arial"/>
        </w:rPr>
        <w:t xml:space="preserve">Ello, </w:t>
      </w:r>
      <w:r w:rsidR="009B7518" w:rsidRPr="002955E3">
        <w:rPr>
          <w:rFonts w:ascii="Palatino Linotype" w:hAnsi="Palatino Linotype" w:cs="Arial"/>
        </w:rPr>
        <w:t xml:space="preserve">debido a que si bien es cierto, </w:t>
      </w:r>
      <w:r w:rsidRPr="002955E3">
        <w:rPr>
          <w:rFonts w:ascii="Palatino Linotype" w:hAnsi="Palatino Linotype" w:cs="Arial"/>
        </w:rPr>
        <w:t>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rsidR="00A104B0" w:rsidRPr="00ED5CBD" w:rsidRDefault="00A104B0" w:rsidP="00A104B0">
      <w:pPr>
        <w:spacing w:line="360" w:lineRule="auto"/>
        <w:jc w:val="both"/>
        <w:rPr>
          <w:rFonts w:ascii="Palatino Linotype" w:hAnsi="Palatino Linotype" w:cs="Arial"/>
          <w:sz w:val="10"/>
          <w:szCs w:val="10"/>
        </w:rPr>
      </w:pPr>
    </w:p>
    <w:p w:rsidR="00D72F45" w:rsidRPr="002955E3" w:rsidRDefault="00D72F45" w:rsidP="00A104B0">
      <w:pPr>
        <w:numPr>
          <w:ilvl w:val="0"/>
          <w:numId w:val="3"/>
        </w:numPr>
        <w:spacing w:line="360" w:lineRule="auto"/>
        <w:ind w:left="993"/>
        <w:jc w:val="both"/>
        <w:rPr>
          <w:rFonts w:ascii="Palatino Linotype" w:hAnsi="Palatino Linotype" w:cs="Arial"/>
        </w:rPr>
      </w:pPr>
      <w:r w:rsidRPr="002955E3">
        <w:rPr>
          <w:rFonts w:ascii="Palatino Linotype" w:hAnsi="Palatino Linotype" w:cs="Arial"/>
          <w:b/>
        </w:rPr>
        <w:t>Información confidencial</w:t>
      </w:r>
      <w:r w:rsidRPr="002955E3">
        <w:rPr>
          <w:rFonts w:ascii="Palatino Linotype" w:hAnsi="Palatino Linotype" w:cs="Arial"/>
        </w:rPr>
        <w:t xml:space="preserve">: Se considera como información confidencial los secretos bancario, fiduciario, industrial, comercial, fiscal, bursátil y postal, </w:t>
      </w:r>
      <w:r w:rsidRPr="002955E3">
        <w:rPr>
          <w:rFonts w:ascii="Palatino Linotype" w:hAnsi="Palatino Linotype" w:cs="Arial"/>
          <w:b/>
        </w:rPr>
        <w:t>cuya titularidad corresponda a particulares</w:t>
      </w:r>
      <w:r w:rsidRPr="002955E3">
        <w:rPr>
          <w:rFonts w:ascii="Palatino Linotype" w:hAnsi="Palatino Linotype" w:cs="Arial"/>
        </w:rPr>
        <w:t>, sujetos de derecho internacional o a Sujetos Obligados cuando no involucren el ejercicio de recursos públicos.</w:t>
      </w:r>
    </w:p>
    <w:p w:rsidR="00D72F45" w:rsidRPr="002955E3" w:rsidRDefault="00D72F45" w:rsidP="00A104B0">
      <w:pPr>
        <w:numPr>
          <w:ilvl w:val="0"/>
          <w:numId w:val="3"/>
        </w:numPr>
        <w:spacing w:line="360" w:lineRule="auto"/>
        <w:ind w:left="993"/>
        <w:jc w:val="both"/>
        <w:rPr>
          <w:rFonts w:ascii="Palatino Linotype" w:hAnsi="Palatino Linotype" w:cs="Arial"/>
          <w:b/>
        </w:rPr>
      </w:pPr>
      <w:r w:rsidRPr="002955E3">
        <w:rPr>
          <w:rFonts w:ascii="Palatino Linotype" w:hAnsi="Palatino Linotype" w:cs="Arial"/>
          <w:b/>
        </w:rPr>
        <w:t>Información privada:</w:t>
      </w:r>
      <w:r w:rsidRPr="002955E3">
        <w:rPr>
          <w:rFonts w:ascii="Palatino Linotype" w:hAnsi="Palatino Linotype" w:cs="Arial"/>
        </w:rPr>
        <w:t xml:space="preserve"> La contenida en </w:t>
      </w:r>
      <w:r w:rsidRPr="002955E3">
        <w:rPr>
          <w:rFonts w:ascii="Palatino Linotype" w:hAnsi="Palatino Linotype" w:cs="Arial"/>
          <w:b/>
        </w:rPr>
        <w:t>documentos públicos o privados que refiera a la vida privada y/o los datos personales, que no son de acceso público.</w:t>
      </w:r>
    </w:p>
    <w:p w:rsidR="00D72F45" w:rsidRPr="002955E3" w:rsidRDefault="00D72F45" w:rsidP="00A104B0">
      <w:pPr>
        <w:numPr>
          <w:ilvl w:val="0"/>
          <w:numId w:val="3"/>
        </w:numPr>
        <w:spacing w:line="360" w:lineRule="auto"/>
        <w:ind w:left="993"/>
        <w:jc w:val="both"/>
        <w:rPr>
          <w:rFonts w:ascii="Palatino Linotype" w:hAnsi="Palatino Linotype" w:cs="Arial"/>
        </w:rPr>
      </w:pPr>
      <w:r w:rsidRPr="002955E3">
        <w:rPr>
          <w:rFonts w:ascii="Palatino Linotype" w:hAnsi="Palatino Linotype" w:cs="Arial"/>
          <w:b/>
        </w:rPr>
        <w:t>Información reservada:</w:t>
      </w:r>
      <w:r w:rsidRPr="002955E3">
        <w:rPr>
          <w:rFonts w:ascii="Palatino Linotype" w:hAnsi="Palatino Linotype" w:cs="Arial"/>
        </w:rPr>
        <w:t xml:space="preserve"> La clasificada con este carácter de manera temporal por las disposiciones de la Ley de la Materia, </w:t>
      </w:r>
      <w:r w:rsidRPr="002955E3">
        <w:rPr>
          <w:rFonts w:ascii="Palatino Linotype" w:hAnsi="Palatino Linotype" w:cs="Arial"/>
          <w:b/>
        </w:rPr>
        <w:t>cuya divulgación puede causar daño en términos de lo establecido en la misma</w:t>
      </w:r>
      <w:r w:rsidRPr="002955E3">
        <w:rPr>
          <w:rFonts w:ascii="Palatino Linotype" w:hAnsi="Palatino Linotype" w:cs="Arial"/>
        </w:rPr>
        <w:t>.</w:t>
      </w:r>
    </w:p>
    <w:p w:rsidR="00A104B0" w:rsidRPr="00ED5CBD" w:rsidRDefault="00A104B0" w:rsidP="00A104B0">
      <w:pPr>
        <w:spacing w:line="360" w:lineRule="auto"/>
        <w:jc w:val="both"/>
        <w:rPr>
          <w:rFonts w:ascii="Palatino Linotype" w:hAnsi="Palatino Linotype" w:cs="Arial"/>
          <w:sz w:val="10"/>
          <w:szCs w:val="10"/>
        </w:rPr>
      </w:pPr>
    </w:p>
    <w:p w:rsidR="00D72F45" w:rsidRDefault="00D72F45" w:rsidP="00A104B0">
      <w:pPr>
        <w:spacing w:line="360" w:lineRule="auto"/>
        <w:jc w:val="both"/>
        <w:rPr>
          <w:rFonts w:ascii="Palatino Linotype" w:hAnsi="Palatino Linotype" w:cs="Arial"/>
        </w:rPr>
      </w:pPr>
      <w:r w:rsidRPr="002955E3">
        <w:rPr>
          <w:rFonts w:ascii="Palatino Linotype" w:hAnsi="Palatino Linotype" w:cs="Arial"/>
        </w:rPr>
        <w:t xml:space="preserve">Por lo tanto, la información pública excepcionalmente podrá ser clasificada como reservada temporalmente por razones de interés público, en los términos de las causas </w:t>
      </w:r>
      <w:r w:rsidRPr="002955E3">
        <w:rPr>
          <w:rFonts w:ascii="Palatino Linotype" w:hAnsi="Palatino Linotype" w:cs="Arial"/>
        </w:rPr>
        <w:lastRenderedPageBreak/>
        <w:t>legítimas y estrictamente necesarias, así como confidencial, tratándose principalmente de aquella que refiera a la información privada y datos personales concernientes a una persona física, previstas todas ellas por la Ley de la materia.</w:t>
      </w:r>
    </w:p>
    <w:p w:rsidR="00A104B0" w:rsidRPr="00ED5CBD" w:rsidRDefault="00A104B0" w:rsidP="00A104B0">
      <w:pPr>
        <w:spacing w:line="360" w:lineRule="auto"/>
        <w:jc w:val="both"/>
        <w:rPr>
          <w:rFonts w:ascii="Palatino Linotype" w:hAnsi="Palatino Linotype" w:cs="Arial"/>
          <w:sz w:val="10"/>
          <w:szCs w:val="10"/>
        </w:rPr>
      </w:pPr>
    </w:p>
    <w:p w:rsidR="009B7518" w:rsidRPr="002955E3" w:rsidRDefault="009B7518" w:rsidP="00A104B0">
      <w:pPr>
        <w:spacing w:line="360" w:lineRule="auto"/>
        <w:jc w:val="both"/>
        <w:rPr>
          <w:rFonts w:ascii="Palatino Linotype" w:hAnsi="Palatino Linotype" w:cs="Arial"/>
        </w:rPr>
      </w:pPr>
      <w:r w:rsidRPr="002955E3">
        <w:rPr>
          <w:rFonts w:ascii="Palatino Linotype" w:hAnsi="Palatino Linotype" w:cs="Arial"/>
        </w:rPr>
        <w:t xml:space="preserve">Así, conviene resaltar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rsidR="00A104B0" w:rsidRPr="00ED5CBD" w:rsidRDefault="00A104B0" w:rsidP="00A104B0">
      <w:pPr>
        <w:spacing w:line="360" w:lineRule="auto"/>
        <w:jc w:val="both"/>
        <w:rPr>
          <w:rFonts w:ascii="Palatino Linotype" w:eastAsia="Calibri" w:hAnsi="Palatino Linotype" w:cs="Arial"/>
          <w:sz w:val="10"/>
          <w:szCs w:val="10"/>
          <w:lang w:eastAsia="es-CO"/>
        </w:rPr>
      </w:pPr>
    </w:p>
    <w:p w:rsidR="009B7518" w:rsidRDefault="009B7518" w:rsidP="00A104B0">
      <w:pPr>
        <w:spacing w:line="360" w:lineRule="auto"/>
        <w:jc w:val="both"/>
        <w:rPr>
          <w:rFonts w:ascii="Palatino Linotype" w:eastAsia="Calibri" w:hAnsi="Palatino Linotype" w:cs="Arial"/>
        </w:rPr>
      </w:pPr>
      <w:r w:rsidRPr="002955E3">
        <w:rPr>
          <w:rFonts w:ascii="Palatino Linotype" w:eastAsia="Calibri" w:hAnsi="Palatino Linotype" w:cs="Arial"/>
          <w:lang w:eastAsia="es-CO"/>
        </w:rPr>
        <w:t xml:space="preserve">En dichos términos, es de señalar que respecto a la información clasificada como reservada el </w:t>
      </w:r>
      <w:r w:rsidRPr="002955E3">
        <w:rPr>
          <w:rFonts w:ascii="Palatino Linotype" w:eastAsia="Calibri" w:hAnsi="Palatino Linotype" w:cs="Arial"/>
        </w:rPr>
        <w:t>artículo 140  de la Ley de Transparencia y Acceso a la Información Pública del Estado de México y Municipios, establece una serie de hipótesis en las cuales radica la posibilidad de tal clasificación de información, que son:</w:t>
      </w:r>
    </w:p>
    <w:p w:rsidR="00A104B0" w:rsidRPr="00ED5CBD" w:rsidRDefault="00A104B0" w:rsidP="00A104B0">
      <w:pPr>
        <w:spacing w:line="360" w:lineRule="auto"/>
        <w:jc w:val="both"/>
        <w:rPr>
          <w:rFonts w:ascii="Palatino Linotype" w:eastAsia="Calibri" w:hAnsi="Palatino Linotype" w:cs="Arial"/>
          <w:sz w:val="10"/>
          <w:szCs w:val="10"/>
        </w:rPr>
      </w:pP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“Artículo 140.</w:t>
      </w:r>
      <w:r w:rsidRPr="002955E3">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I.</w:t>
      </w:r>
      <w:r w:rsidRPr="002955E3">
        <w:rPr>
          <w:rFonts w:ascii="Palatino Linotype" w:eastAsia="Calibri" w:hAnsi="Palatino Linotype"/>
          <w:i/>
          <w:sz w:val="22"/>
          <w:szCs w:val="22"/>
        </w:rPr>
        <w:t xml:space="preserve"> Comprometa la seguridad pública y cuente con un propósito genuino y un efecto demostrable;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II.</w:t>
      </w:r>
      <w:r w:rsidRPr="002955E3">
        <w:rPr>
          <w:rFonts w:ascii="Palatino Linotype" w:eastAsia="Calibri" w:hAnsi="Palatino Linotype"/>
          <w:i/>
          <w:sz w:val="22"/>
          <w:szCs w:val="22"/>
        </w:rPr>
        <w:t xml:space="preserve"> Pueda menoscabar la conducción de las negociaciones y relaciones internacionales;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III.</w:t>
      </w:r>
      <w:r w:rsidRPr="002955E3">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IV.</w:t>
      </w:r>
      <w:r w:rsidRPr="002955E3">
        <w:rPr>
          <w:rFonts w:ascii="Palatino Linotype" w:eastAsia="Calibri" w:hAnsi="Palatino Linotype"/>
          <w:i/>
          <w:sz w:val="22"/>
          <w:szCs w:val="22"/>
        </w:rPr>
        <w:t xml:space="preserve"> Ponga en riesgo la vida, la seguridad o la salud de una persona física;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V.</w:t>
      </w:r>
      <w:r w:rsidRPr="002955E3">
        <w:rPr>
          <w:rFonts w:ascii="Palatino Linotype" w:eastAsia="Calibri" w:hAnsi="Palatino Linotype"/>
          <w:i/>
          <w:sz w:val="22"/>
          <w:szCs w:val="22"/>
        </w:rPr>
        <w:t xml:space="preserve"> Aquella cuya divulgación obstruya o pueda causar un serio perjuicio a: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1.</w:t>
      </w:r>
      <w:r w:rsidRPr="002955E3">
        <w:rPr>
          <w:rFonts w:ascii="Palatino Linotype" w:eastAsia="Calibri" w:hAnsi="Palatino Linotype"/>
          <w:i/>
          <w:sz w:val="22"/>
          <w:szCs w:val="22"/>
        </w:rPr>
        <w:t xml:space="preserve"> Las actividades de fiscalización, verificación, inspección, comprobación y auditoría sobre el cumplimiento de las Leyes; o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2.</w:t>
      </w:r>
      <w:r w:rsidRPr="002955E3">
        <w:rPr>
          <w:rFonts w:ascii="Palatino Linotype" w:eastAsia="Calibri" w:hAnsi="Palatino Linotype"/>
          <w:i/>
          <w:sz w:val="22"/>
          <w:szCs w:val="22"/>
        </w:rPr>
        <w:t xml:space="preserve"> La recaudación de las contribuciones. </w:t>
      </w:r>
    </w:p>
    <w:p w:rsidR="009B7518" w:rsidRPr="002955E3" w:rsidRDefault="009B7518" w:rsidP="00A104B0">
      <w:pPr>
        <w:ind w:left="851" w:right="902"/>
        <w:jc w:val="both"/>
        <w:rPr>
          <w:rFonts w:ascii="Palatino Linotype" w:eastAsia="Calibri" w:hAnsi="Palatino Linotype"/>
          <w:b/>
          <w:i/>
          <w:sz w:val="22"/>
          <w:szCs w:val="22"/>
        </w:rPr>
      </w:pPr>
      <w:r w:rsidRPr="002955E3">
        <w:rPr>
          <w:rFonts w:ascii="Palatino Linotype" w:eastAsia="Calibri" w:hAnsi="Palatino Linotype"/>
          <w:b/>
          <w:i/>
          <w:sz w:val="22"/>
          <w:szCs w:val="22"/>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VII.</w:t>
      </w:r>
      <w:r w:rsidRPr="002955E3">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rsidR="009B7518" w:rsidRPr="002955E3" w:rsidRDefault="009B7518" w:rsidP="00A104B0">
      <w:pPr>
        <w:ind w:left="851" w:right="902"/>
        <w:jc w:val="both"/>
        <w:rPr>
          <w:rFonts w:ascii="Palatino Linotype" w:eastAsia="Calibri" w:hAnsi="Palatino Linotype"/>
          <w:b/>
          <w:i/>
          <w:sz w:val="22"/>
          <w:szCs w:val="22"/>
        </w:rPr>
      </w:pPr>
      <w:r w:rsidRPr="002955E3">
        <w:rPr>
          <w:rFonts w:ascii="Palatino Linotype" w:eastAsia="Calibri" w:hAnsi="Palatino Linotype"/>
          <w:b/>
          <w:i/>
          <w:sz w:val="22"/>
          <w:szCs w:val="22"/>
        </w:rPr>
        <w:t xml:space="preserve">VIII. Vulnere la conducción de los expedientes judiciales o de los procedimientos administrativos seguidos en forma de juicio, en tanto no hayan quedado firmes;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IX.</w:t>
      </w:r>
      <w:r w:rsidRPr="002955E3">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b/>
          <w:i/>
          <w:sz w:val="22"/>
          <w:szCs w:val="22"/>
        </w:rPr>
        <w:t>X.</w:t>
      </w:r>
      <w:r w:rsidRPr="002955E3">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9B7518" w:rsidRPr="002955E3" w:rsidRDefault="009B7518" w:rsidP="00A104B0">
      <w:pPr>
        <w:ind w:left="851" w:right="902"/>
        <w:jc w:val="both"/>
        <w:rPr>
          <w:rFonts w:ascii="Palatino Linotype" w:eastAsia="Calibri" w:hAnsi="Palatino Linotype"/>
          <w:i/>
          <w:sz w:val="22"/>
          <w:szCs w:val="22"/>
        </w:rPr>
      </w:pPr>
      <w:r w:rsidRPr="002955E3">
        <w:rPr>
          <w:rFonts w:ascii="Palatino Linotype" w:eastAsia="Calibri"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9B7518" w:rsidRPr="002955E3" w:rsidRDefault="009B7518" w:rsidP="00A104B0">
      <w:pPr>
        <w:ind w:left="851" w:right="902"/>
        <w:jc w:val="both"/>
        <w:rPr>
          <w:rFonts w:ascii="Palatino Linotype" w:eastAsia="Calibri" w:hAnsi="Palatino Linotype"/>
        </w:rPr>
      </w:pPr>
      <w:r w:rsidRPr="002955E3">
        <w:rPr>
          <w:rFonts w:ascii="Palatino Linotype" w:eastAsia="Calibri" w:hAnsi="Palatino Linotype"/>
          <w:b/>
          <w:i/>
          <w:sz w:val="22"/>
          <w:szCs w:val="22"/>
        </w:rPr>
        <w:t>XI.</w:t>
      </w:r>
      <w:r w:rsidRPr="002955E3">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2955E3">
        <w:rPr>
          <w:rFonts w:ascii="Palatino Linotype" w:eastAsia="Calibri" w:hAnsi="Palatino Linotype"/>
          <w:b/>
          <w:i/>
          <w:sz w:val="22"/>
          <w:szCs w:val="22"/>
        </w:rPr>
        <w:t>”</w:t>
      </w:r>
    </w:p>
    <w:p w:rsidR="00A104B0" w:rsidRPr="00ED5CBD" w:rsidRDefault="00A104B0" w:rsidP="00A104B0">
      <w:pPr>
        <w:spacing w:line="360" w:lineRule="auto"/>
        <w:jc w:val="both"/>
        <w:rPr>
          <w:rFonts w:ascii="Palatino Linotype" w:hAnsi="Palatino Linotype"/>
          <w:sz w:val="10"/>
          <w:szCs w:val="10"/>
        </w:rPr>
      </w:pPr>
    </w:p>
    <w:p w:rsidR="009B7518" w:rsidRDefault="009B7518" w:rsidP="00A104B0">
      <w:pPr>
        <w:spacing w:line="360" w:lineRule="auto"/>
        <w:jc w:val="both"/>
        <w:rPr>
          <w:rFonts w:ascii="Palatino Linotype" w:hAnsi="Palatino Linotype"/>
        </w:rPr>
      </w:pPr>
      <w:r w:rsidRPr="002955E3">
        <w:rPr>
          <w:rFonts w:ascii="Palatino Linotype" w:hAnsi="Palatino Linotype"/>
        </w:rPr>
        <w:t xml:space="preserve">Ahora bien, el reservar la información, implica el reconocimiento por parte del </w:t>
      </w:r>
      <w:r w:rsidRPr="002955E3">
        <w:rPr>
          <w:rFonts w:ascii="Palatino Linotype" w:hAnsi="Palatino Linotype" w:cs="Arial"/>
          <w:b/>
        </w:rPr>
        <w:t>SUJETO OBLIGADO</w:t>
      </w:r>
      <w:r w:rsidRPr="002955E3">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A104B0" w:rsidRPr="00ED5CBD" w:rsidRDefault="00A104B0" w:rsidP="00A104B0">
      <w:pPr>
        <w:spacing w:line="360" w:lineRule="auto"/>
        <w:jc w:val="both"/>
        <w:rPr>
          <w:rFonts w:ascii="Palatino Linotype" w:hAnsi="Palatino Linotype"/>
          <w:sz w:val="10"/>
          <w:szCs w:val="10"/>
        </w:rPr>
      </w:pPr>
    </w:p>
    <w:p w:rsidR="009B7518" w:rsidRDefault="009B7518" w:rsidP="00A104B0">
      <w:pPr>
        <w:spacing w:line="360" w:lineRule="auto"/>
        <w:jc w:val="both"/>
        <w:rPr>
          <w:rFonts w:ascii="Palatino Linotype" w:hAnsi="Palatino Linotype"/>
        </w:rPr>
      </w:pPr>
      <w:r w:rsidRPr="002955E3">
        <w:rPr>
          <w:rFonts w:ascii="Palatino Linotype" w:hAnsi="Palatino Linotype"/>
        </w:rPr>
        <w:lastRenderedPageBreak/>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A104B0" w:rsidRPr="00ED5CBD" w:rsidRDefault="00A104B0" w:rsidP="00A104B0">
      <w:pPr>
        <w:spacing w:line="360" w:lineRule="auto"/>
        <w:jc w:val="both"/>
        <w:rPr>
          <w:rFonts w:ascii="Palatino Linotype" w:hAnsi="Palatino Linotype"/>
          <w:sz w:val="10"/>
          <w:szCs w:val="10"/>
        </w:rPr>
      </w:pPr>
    </w:p>
    <w:p w:rsidR="009B7518" w:rsidRDefault="009B7518" w:rsidP="00A104B0">
      <w:pPr>
        <w:spacing w:line="360" w:lineRule="auto"/>
        <w:jc w:val="both"/>
        <w:rPr>
          <w:rFonts w:ascii="Palatino Linotype" w:hAnsi="Palatino Linotype"/>
          <w:bCs/>
        </w:rPr>
      </w:pPr>
      <w:r w:rsidRPr="002955E3">
        <w:rPr>
          <w:rFonts w:ascii="Palatino Linotype" w:hAnsi="Palatino Linotype"/>
          <w:bCs/>
        </w:rPr>
        <w:t xml:space="preserve">Por todo lo anterior, la reserva de la información implica una clasificación, la cual debe entenderse como el proceso mediante el cual </w:t>
      </w:r>
      <w:r w:rsidRPr="002955E3">
        <w:rPr>
          <w:rFonts w:ascii="Palatino Linotype" w:hAnsi="Palatino Linotype"/>
          <w:b/>
          <w:bCs/>
        </w:rPr>
        <w:t>EL SUJETO OBLIGADO</w:t>
      </w:r>
      <w:r w:rsidRPr="002955E3">
        <w:rPr>
          <w:rFonts w:ascii="Palatino Linotype" w:hAnsi="Palatino Linotype"/>
          <w:bCs/>
        </w:rPr>
        <w:t xml:space="preserve"> determina que la información en su poder actualizó alguno de los supuestos de conformidad con las normas aplicables.</w:t>
      </w:r>
    </w:p>
    <w:p w:rsidR="00A104B0" w:rsidRPr="00ED5CBD" w:rsidRDefault="00A104B0" w:rsidP="00A104B0">
      <w:pPr>
        <w:spacing w:line="360" w:lineRule="auto"/>
        <w:jc w:val="both"/>
        <w:rPr>
          <w:rFonts w:ascii="Palatino Linotype" w:hAnsi="Palatino Linotype"/>
          <w:bCs/>
          <w:sz w:val="10"/>
          <w:szCs w:val="10"/>
        </w:rPr>
      </w:pPr>
    </w:p>
    <w:p w:rsidR="009B7518" w:rsidRDefault="009B7518" w:rsidP="00A104B0">
      <w:pPr>
        <w:spacing w:line="360" w:lineRule="auto"/>
        <w:jc w:val="both"/>
        <w:rPr>
          <w:rFonts w:ascii="Palatino Linotype" w:hAnsi="Palatino Linotype"/>
        </w:rPr>
      </w:pPr>
      <w:r w:rsidRPr="002955E3">
        <w:rPr>
          <w:rFonts w:ascii="Palatino Linotype" w:hAnsi="Palatino Linotype"/>
        </w:rPr>
        <w:t xml:space="preserve">En términos generales, las Leyes de la materia disponen que para proceder a realizar la reserva de la información, no basta que se refiera a alguno de los supuestos que enmarque, en el caso concreto, el artículo 140 de la </w:t>
      </w:r>
      <w:r w:rsidRPr="002955E3">
        <w:rPr>
          <w:rFonts w:ascii="Palatino Linotype" w:hAnsi="Palatino Linotype" w:cs="Arial"/>
        </w:rPr>
        <w:t>Ley de Transparencia y Acceso a la Información Pública del Estado de México y Municipios</w:t>
      </w:r>
      <w:r w:rsidRPr="002955E3">
        <w:rPr>
          <w:rFonts w:ascii="Palatino Linotype" w:hAnsi="Palatino Linotype"/>
        </w:rPr>
        <w:t>, sino que, es necesario que la autoridad demuestre que la divulgación de la información en el caso concreto, puede causar un daño al interés público protegido.</w:t>
      </w:r>
    </w:p>
    <w:p w:rsidR="00A104B0" w:rsidRPr="00ED5CBD" w:rsidRDefault="00A104B0" w:rsidP="00A104B0">
      <w:pPr>
        <w:spacing w:line="360" w:lineRule="auto"/>
        <w:jc w:val="both"/>
        <w:rPr>
          <w:rFonts w:ascii="Palatino Linotype" w:hAnsi="Palatino Linotype"/>
          <w:sz w:val="10"/>
          <w:szCs w:val="10"/>
        </w:rPr>
      </w:pPr>
    </w:p>
    <w:p w:rsidR="009B7518" w:rsidRDefault="009B7518" w:rsidP="00A104B0">
      <w:pPr>
        <w:spacing w:line="360" w:lineRule="auto"/>
        <w:jc w:val="both"/>
        <w:rPr>
          <w:rFonts w:ascii="Palatino Linotype" w:hAnsi="Palatino Linotype"/>
        </w:rPr>
      </w:pPr>
      <w:r w:rsidRPr="002955E3">
        <w:rPr>
          <w:rFonts w:ascii="Palatino Linotype" w:hAnsi="Palatino Linotype"/>
        </w:rPr>
        <w:t xml:space="preserve">Dicha valoración, debe realizarse caso por caso, a través de lo que se conoce como la llamada </w:t>
      </w:r>
      <w:r w:rsidRPr="002955E3">
        <w:rPr>
          <w:rFonts w:ascii="Palatino Linotype" w:hAnsi="Palatino Linotype"/>
          <w:i/>
        </w:rPr>
        <w:t>“prueba de daño”</w:t>
      </w:r>
      <w:r w:rsidRPr="002955E3">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w:t>
      </w:r>
      <w:r w:rsidRPr="002955E3">
        <w:rPr>
          <w:rFonts w:ascii="Palatino Linotype" w:hAnsi="Palatino Linotype"/>
        </w:rPr>
        <w:lastRenderedPageBreak/>
        <w:t xml:space="preserve">Transparencia y Acceso a la Información Pública; asimismo, ésta no debe basarse en meras especulaciones o suposiciones, sino en elementos objetivos que deban evaluar que existe un riego actual e inminente. </w:t>
      </w:r>
    </w:p>
    <w:p w:rsidR="00A104B0" w:rsidRPr="00ED5CBD" w:rsidRDefault="00A104B0" w:rsidP="00A104B0">
      <w:pPr>
        <w:spacing w:line="360" w:lineRule="auto"/>
        <w:jc w:val="both"/>
        <w:rPr>
          <w:rFonts w:ascii="Palatino Linotype" w:hAnsi="Palatino Linotype"/>
          <w:sz w:val="10"/>
          <w:szCs w:val="10"/>
        </w:rPr>
      </w:pPr>
    </w:p>
    <w:p w:rsidR="009B7518" w:rsidRDefault="009B7518" w:rsidP="00A104B0">
      <w:pPr>
        <w:spacing w:line="360" w:lineRule="auto"/>
        <w:jc w:val="both"/>
        <w:rPr>
          <w:rFonts w:ascii="Palatino Linotype" w:hAnsi="Palatino Linotype"/>
        </w:rPr>
      </w:pPr>
      <w:r w:rsidRPr="002955E3">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rsidR="00A104B0" w:rsidRPr="00ED5CBD" w:rsidRDefault="00A104B0" w:rsidP="00A104B0">
      <w:pPr>
        <w:spacing w:line="360" w:lineRule="auto"/>
        <w:jc w:val="both"/>
        <w:rPr>
          <w:rFonts w:ascii="Palatino Linotype" w:hAnsi="Palatino Linotype"/>
          <w:sz w:val="10"/>
          <w:szCs w:val="10"/>
        </w:rPr>
      </w:pPr>
    </w:p>
    <w:p w:rsidR="009B7518" w:rsidRPr="002955E3" w:rsidRDefault="009B7518" w:rsidP="00A104B0">
      <w:pPr>
        <w:ind w:left="851" w:right="902"/>
        <w:jc w:val="both"/>
        <w:rPr>
          <w:rFonts w:ascii="Palatino Linotype" w:hAnsi="Palatino Linotype"/>
          <w:i/>
          <w:sz w:val="22"/>
          <w:szCs w:val="22"/>
        </w:rPr>
      </w:pPr>
      <w:r w:rsidRPr="002955E3">
        <w:rPr>
          <w:rFonts w:ascii="Palatino Linotype" w:hAnsi="Palatino Linotype"/>
          <w:b/>
          <w:i/>
          <w:sz w:val="22"/>
          <w:szCs w:val="22"/>
        </w:rPr>
        <w:t>“Segundo.</w:t>
      </w:r>
      <w:r w:rsidRPr="002955E3">
        <w:rPr>
          <w:rFonts w:ascii="Palatino Linotype" w:hAnsi="Palatino Linotype"/>
          <w:i/>
          <w:sz w:val="22"/>
          <w:szCs w:val="22"/>
        </w:rPr>
        <w:t xml:space="preserve"> Para efectos de los presentes Lineamientos Generales, se entenderá por: </w:t>
      </w:r>
    </w:p>
    <w:p w:rsidR="009B7518" w:rsidRPr="002955E3" w:rsidRDefault="009B7518" w:rsidP="00A104B0">
      <w:pPr>
        <w:ind w:left="851" w:right="902"/>
        <w:jc w:val="both"/>
        <w:rPr>
          <w:rFonts w:ascii="Palatino Linotype" w:hAnsi="Palatino Linotype"/>
          <w:b/>
          <w:i/>
          <w:sz w:val="22"/>
          <w:szCs w:val="22"/>
        </w:rPr>
      </w:pPr>
      <w:r w:rsidRPr="002955E3">
        <w:rPr>
          <w:rFonts w:ascii="Palatino Linotype" w:hAnsi="Palatino Linotype"/>
          <w:b/>
          <w:i/>
          <w:sz w:val="22"/>
          <w:szCs w:val="22"/>
        </w:rPr>
        <w:t>XIII.</w:t>
      </w:r>
      <w:r w:rsidRPr="002955E3">
        <w:rPr>
          <w:rFonts w:ascii="Palatino Linotype" w:hAnsi="Palatino Linotype"/>
          <w:i/>
          <w:sz w:val="22"/>
          <w:szCs w:val="22"/>
        </w:rPr>
        <w:t xml:space="preserve">    Prueba de daño: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2955E3">
        <w:rPr>
          <w:rFonts w:ascii="Palatino Linotype" w:hAnsi="Palatino Linotype"/>
          <w:b/>
          <w:i/>
          <w:sz w:val="22"/>
          <w:szCs w:val="22"/>
        </w:rPr>
        <w:t>”</w:t>
      </w:r>
    </w:p>
    <w:p w:rsidR="00A104B0" w:rsidRPr="00ED5CBD" w:rsidRDefault="00A104B0" w:rsidP="00A104B0">
      <w:pPr>
        <w:spacing w:line="360" w:lineRule="auto"/>
        <w:jc w:val="both"/>
        <w:rPr>
          <w:rFonts w:ascii="Palatino Linotype" w:hAnsi="Palatino Linotype"/>
          <w:sz w:val="10"/>
          <w:szCs w:val="10"/>
        </w:rPr>
      </w:pPr>
    </w:p>
    <w:p w:rsidR="009B7518" w:rsidRDefault="009B7518" w:rsidP="00A104B0">
      <w:pPr>
        <w:spacing w:line="360" w:lineRule="auto"/>
        <w:jc w:val="both"/>
        <w:rPr>
          <w:rFonts w:ascii="Palatino Linotype" w:hAnsi="Palatino Linotype"/>
        </w:rPr>
      </w:pPr>
      <w:r w:rsidRPr="002955E3">
        <w:rPr>
          <w:rFonts w:ascii="Palatino Linotype" w:hAnsi="Palatino Linotype"/>
        </w:rPr>
        <w:t xml:space="preserve">En tal virtud, conforme al artículo 49, fracción VIII, de la </w:t>
      </w:r>
      <w:r w:rsidRPr="002955E3">
        <w:rPr>
          <w:rFonts w:ascii="Palatino Linotype" w:hAnsi="Palatino Linotype" w:cs="Arial"/>
        </w:rPr>
        <w:t>Ley de Transparencia y Acceso a la Información Pública del Estado de México y Municipios</w:t>
      </w:r>
      <w:r w:rsidRPr="002955E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2955E3">
        <w:rPr>
          <w:rFonts w:ascii="Palatino Linotype" w:hAnsi="Palatino Linotype"/>
          <w:b/>
        </w:rPr>
        <w:t>SUJETO OBLIGADO</w:t>
      </w:r>
      <w:r w:rsidRPr="002955E3">
        <w:rPr>
          <w:rFonts w:ascii="Palatino Linotype" w:hAnsi="Palatino Linotype"/>
        </w:rPr>
        <w:t xml:space="preserve"> a concluir que el caso particular se ajusta al supuesto previsto por la norma legal invocada como fundamento; siendo que, además, </w:t>
      </w:r>
      <w:r w:rsidRPr="002955E3">
        <w:rPr>
          <w:rFonts w:ascii="Palatino Linotype" w:hAnsi="Palatino Linotype"/>
          <w:b/>
        </w:rPr>
        <w:t>EL SUJETO OBLIGADO</w:t>
      </w:r>
      <w:r w:rsidRPr="002955E3">
        <w:rPr>
          <w:rFonts w:ascii="Palatino Linotype" w:hAnsi="Palatino Linotype"/>
        </w:rPr>
        <w:t xml:space="preserve"> debe, en todo momento, aplicar una prueba de daño.</w:t>
      </w:r>
    </w:p>
    <w:p w:rsidR="00A104B0" w:rsidRPr="002955E3" w:rsidRDefault="00A104B0" w:rsidP="00A104B0">
      <w:pPr>
        <w:spacing w:line="360" w:lineRule="auto"/>
        <w:jc w:val="both"/>
        <w:rPr>
          <w:rFonts w:ascii="Palatino Linotype" w:hAnsi="Palatino Linotype"/>
        </w:rPr>
      </w:pPr>
    </w:p>
    <w:p w:rsidR="009B7518" w:rsidRDefault="009B7518" w:rsidP="00A104B0">
      <w:pPr>
        <w:spacing w:line="360" w:lineRule="auto"/>
        <w:jc w:val="both"/>
        <w:rPr>
          <w:rFonts w:ascii="Palatino Linotype" w:hAnsi="Palatino Linotype"/>
        </w:rPr>
      </w:pPr>
      <w:r w:rsidRPr="002955E3">
        <w:rPr>
          <w:rFonts w:ascii="Palatino Linotype" w:hAnsi="Palatino Linotype"/>
        </w:rPr>
        <w:lastRenderedPageBreak/>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A104B0" w:rsidRPr="00ED5CBD" w:rsidRDefault="00A104B0" w:rsidP="00A104B0">
      <w:pPr>
        <w:spacing w:line="360" w:lineRule="auto"/>
        <w:jc w:val="both"/>
        <w:rPr>
          <w:rFonts w:ascii="Palatino Linotype" w:hAnsi="Palatino Linotype"/>
          <w:sz w:val="10"/>
          <w:szCs w:val="10"/>
        </w:rPr>
      </w:pPr>
    </w:p>
    <w:p w:rsidR="009B7518" w:rsidRPr="002955E3" w:rsidRDefault="009B7518" w:rsidP="00A104B0">
      <w:pPr>
        <w:numPr>
          <w:ilvl w:val="0"/>
          <w:numId w:val="4"/>
        </w:numPr>
        <w:spacing w:line="360" w:lineRule="auto"/>
        <w:ind w:left="851"/>
        <w:jc w:val="both"/>
        <w:rPr>
          <w:rFonts w:ascii="Palatino Linotype" w:hAnsi="Palatino Linotype"/>
        </w:rPr>
      </w:pPr>
      <w:r w:rsidRPr="002955E3">
        <w:rPr>
          <w:rFonts w:ascii="Palatino Linotype" w:hAnsi="Palatino Linotype"/>
        </w:rPr>
        <w:t>Se reciba una solicitud de acceso a la información.</w:t>
      </w:r>
    </w:p>
    <w:p w:rsidR="009B7518" w:rsidRPr="002955E3" w:rsidRDefault="009B7518" w:rsidP="00A104B0">
      <w:pPr>
        <w:numPr>
          <w:ilvl w:val="0"/>
          <w:numId w:val="4"/>
        </w:numPr>
        <w:spacing w:line="360" w:lineRule="auto"/>
        <w:ind w:left="851"/>
        <w:jc w:val="both"/>
        <w:rPr>
          <w:rFonts w:ascii="Palatino Linotype" w:hAnsi="Palatino Linotype"/>
        </w:rPr>
      </w:pPr>
      <w:r w:rsidRPr="002955E3">
        <w:rPr>
          <w:rFonts w:ascii="Palatino Linotype" w:hAnsi="Palatino Linotype"/>
        </w:rPr>
        <w:t>Se determine mediante resolución de autoridad competente.</w:t>
      </w:r>
    </w:p>
    <w:p w:rsidR="009B7518" w:rsidRPr="002955E3" w:rsidRDefault="009B7518" w:rsidP="00A104B0">
      <w:pPr>
        <w:numPr>
          <w:ilvl w:val="0"/>
          <w:numId w:val="4"/>
        </w:numPr>
        <w:spacing w:line="360" w:lineRule="auto"/>
        <w:ind w:left="851"/>
        <w:jc w:val="both"/>
        <w:rPr>
          <w:rFonts w:ascii="Palatino Linotype" w:hAnsi="Palatino Linotype"/>
        </w:rPr>
      </w:pPr>
      <w:r w:rsidRPr="002955E3">
        <w:rPr>
          <w:rFonts w:ascii="Palatino Linotype" w:hAnsi="Palatino Linotype"/>
        </w:rPr>
        <w:t>Se generen versiones públicas para dar cumplimiento a las obligaciones de transparencia previstas en la Ley.</w:t>
      </w:r>
    </w:p>
    <w:p w:rsidR="00A104B0" w:rsidRPr="00ED5CBD" w:rsidRDefault="00A104B0" w:rsidP="00A104B0">
      <w:pPr>
        <w:spacing w:line="360" w:lineRule="auto"/>
        <w:jc w:val="both"/>
        <w:rPr>
          <w:rFonts w:ascii="Palatino Linotype" w:hAnsi="Palatino Linotype"/>
          <w:sz w:val="10"/>
          <w:szCs w:val="10"/>
        </w:rPr>
      </w:pPr>
    </w:p>
    <w:p w:rsidR="009B7518" w:rsidRPr="002955E3" w:rsidRDefault="009B7518" w:rsidP="00A104B0">
      <w:pPr>
        <w:spacing w:line="360" w:lineRule="auto"/>
        <w:jc w:val="both"/>
        <w:rPr>
          <w:rFonts w:ascii="Palatino Linotype" w:hAnsi="Palatino Linotype"/>
        </w:rPr>
      </w:pPr>
      <w:r w:rsidRPr="002955E3">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A104B0" w:rsidRPr="00ED5CBD" w:rsidRDefault="00A104B0" w:rsidP="00A104B0">
      <w:pPr>
        <w:spacing w:line="360" w:lineRule="auto"/>
        <w:jc w:val="both"/>
        <w:rPr>
          <w:rFonts w:ascii="Palatino Linotype" w:hAnsi="Palatino Linotype"/>
          <w:sz w:val="10"/>
          <w:szCs w:val="10"/>
        </w:rPr>
      </w:pPr>
    </w:p>
    <w:p w:rsidR="009B7518" w:rsidRDefault="009B7518" w:rsidP="00A104B0">
      <w:pPr>
        <w:spacing w:line="360" w:lineRule="auto"/>
        <w:jc w:val="both"/>
        <w:rPr>
          <w:rFonts w:ascii="Palatino Linotype" w:hAnsi="Palatino Linotype"/>
        </w:rPr>
      </w:pPr>
      <w:r w:rsidRPr="002955E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A104B0" w:rsidRPr="00ED5CBD" w:rsidRDefault="00A104B0" w:rsidP="00A104B0">
      <w:pPr>
        <w:spacing w:line="360" w:lineRule="auto"/>
        <w:jc w:val="both"/>
        <w:rPr>
          <w:rFonts w:ascii="Palatino Linotype" w:hAnsi="Palatino Linotype"/>
          <w:sz w:val="10"/>
          <w:szCs w:val="10"/>
        </w:rPr>
      </w:pPr>
    </w:p>
    <w:p w:rsidR="009B7518" w:rsidRPr="002955E3" w:rsidRDefault="009B7518" w:rsidP="00A104B0">
      <w:pPr>
        <w:pStyle w:val="Prrafodelista"/>
        <w:numPr>
          <w:ilvl w:val="0"/>
          <w:numId w:val="5"/>
        </w:numPr>
        <w:spacing w:line="360" w:lineRule="auto"/>
        <w:ind w:left="851"/>
        <w:jc w:val="both"/>
        <w:rPr>
          <w:rFonts w:ascii="Palatino Linotype" w:hAnsi="Palatino Linotype"/>
        </w:rPr>
      </w:pPr>
      <w:r w:rsidRPr="002955E3">
        <w:rPr>
          <w:rFonts w:ascii="Palatino Linotype" w:hAnsi="Palatino Linotype"/>
        </w:rPr>
        <w:t>La divulgación de la información representa un riesgo real, demostrable e identificable del perjuicio significativo al interés público o a la seguridad pública;</w:t>
      </w:r>
    </w:p>
    <w:p w:rsidR="009B7518" w:rsidRPr="002955E3" w:rsidRDefault="009B7518" w:rsidP="00A104B0">
      <w:pPr>
        <w:pStyle w:val="Prrafodelista"/>
        <w:numPr>
          <w:ilvl w:val="0"/>
          <w:numId w:val="5"/>
        </w:numPr>
        <w:spacing w:line="360" w:lineRule="auto"/>
        <w:ind w:left="851"/>
        <w:jc w:val="both"/>
        <w:rPr>
          <w:rFonts w:ascii="Palatino Linotype" w:hAnsi="Palatino Linotype"/>
        </w:rPr>
      </w:pPr>
      <w:r w:rsidRPr="002955E3">
        <w:rPr>
          <w:rFonts w:ascii="Palatino Linotype" w:hAnsi="Palatino Linotype"/>
        </w:rPr>
        <w:lastRenderedPageBreak/>
        <w:t>El riesgo de perjuicio que supondría la divulgación supera el interés público general de que se difunda; y</w:t>
      </w:r>
    </w:p>
    <w:p w:rsidR="009B7518" w:rsidRPr="002955E3" w:rsidRDefault="009B7518" w:rsidP="00A104B0">
      <w:pPr>
        <w:pStyle w:val="Prrafodelista"/>
        <w:numPr>
          <w:ilvl w:val="0"/>
          <w:numId w:val="5"/>
        </w:numPr>
        <w:spacing w:line="360" w:lineRule="auto"/>
        <w:ind w:left="851"/>
        <w:jc w:val="both"/>
        <w:rPr>
          <w:rFonts w:ascii="Palatino Linotype" w:hAnsi="Palatino Linotype"/>
        </w:rPr>
      </w:pPr>
      <w:r w:rsidRPr="002955E3">
        <w:rPr>
          <w:rFonts w:ascii="Palatino Linotype" w:hAnsi="Palatino Linotype"/>
        </w:rPr>
        <w:t xml:space="preserve">La limitación se adecua al principio de proporcionalidad y representa el medio menos restrictivo disponible para evitar el perjuicio. </w:t>
      </w:r>
    </w:p>
    <w:p w:rsidR="00A104B0" w:rsidRPr="00ED5CBD" w:rsidRDefault="00A104B0" w:rsidP="00A104B0">
      <w:pPr>
        <w:spacing w:line="360" w:lineRule="auto"/>
        <w:jc w:val="both"/>
        <w:rPr>
          <w:rFonts w:ascii="Palatino Linotype" w:eastAsia="Calibri" w:hAnsi="Palatino Linotype" w:cs="Arial"/>
          <w:sz w:val="10"/>
          <w:szCs w:val="10"/>
        </w:rPr>
      </w:pPr>
    </w:p>
    <w:p w:rsidR="009B7518" w:rsidRPr="002955E3" w:rsidRDefault="009B7518" w:rsidP="00A104B0">
      <w:pPr>
        <w:spacing w:line="360" w:lineRule="auto"/>
        <w:jc w:val="both"/>
        <w:rPr>
          <w:rFonts w:ascii="Palatino Linotype" w:eastAsia="Calibri" w:hAnsi="Palatino Linotype" w:cs="Arial"/>
        </w:rPr>
      </w:pPr>
      <w:r w:rsidRPr="002955E3">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9B7518" w:rsidRDefault="009B7518" w:rsidP="00A104B0">
      <w:pPr>
        <w:spacing w:line="360" w:lineRule="auto"/>
        <w:jc w:val="both"/>
        <w:rPr>
          <w:rFonts w:ascii="Palatino Linotype" w:eastAsia="Calibri" w:hAnsi="Palatino Linotype" w:cs="Arial"/>
          <w:bCs/>
          <w:color w:val="000000"/>
        </w:rPr>
      </w:pPr>
      <w:r w:rsidRPr="002955E3">
        <w:rPr>
          <w:rFonts w:ascii="Palatino Linotype" w:eastAsia="Calibri" w:hAnsi="Palatino Linotype" w:cs="Arial"/>
        </w:rPr>
        <w:t>Lo anterior</w:t>
      </w:r>
      <w:r w:rsidR="00D37B55">
        <w:rPr>
          <w:rFonts w:ascii="Palatino Linotype" w:eastAsia="Calibri" w:hAnsi="Palatino Linotype" w:cs="Arial"/>
        </w:rPr>
        <w:t>,</w:t>
      </w:r>
      <w:r w:rsidRPr="002955E3">
        <w:rPr>
          <w:rFonts w:ascii="Palatino Linotype" w:eastAsia="Calibri" w:hAnsi="Palatino Linotype" w:cs="Arial"/>
        </w:rPr>
        <w:t xml:space="preserve"> encuentra sustento en la Tesis de la Décima Época, publicada en la Gaceta del Semanario Judicial de la Federación, sección Tribunales Colegiados de Circuito, Libro 5, de fecha abril de 2014, pág. 1523, Registro, 2, 006,299. I.1o.A.E.3 K (10a.)</w:t>
      </w:r>
      <w:r w:rsidRPr="002955E3">
        <w:rPr>
          <w:rFonts w:ascii="Palatino Linotype" w:eastAsia="Arial Unicode MS" w:hAnsi="Palatino Linotype" w:cs="Arial"/>
          <w:color w:val="000000"/>
        </w:rPr>
        <w:t>,</w:t>
      </w:r>
      <w:r w:rsidRPr="002955E3">
        <w:rPr>
          <w:rFonts w:ascii="Palatino Linotype" w:eastAsia="Calibri" w:hAnsi="Palatino Linotype" w:cs="Arial"/>
          <w:bCs/>
          <w:color w:val="000000"/>
        </w:rPr>
        <w:t xml:space="preserve"> que literalmente señala:</w:t>
      </w:r>
    </w:p>
    <w:p w:rsidR="00A104B0" w:rsidRPr="00ED5CBD" w:rsidRDefault="00A104B0" w:rsidP="00A104B0">
      <w:pPr>
        <w:spacing w:line="360" w:lineRule="auto"/>
        <w:jc w:val="both"/>
        <w:rPr>
          <w:rFonts w:ascii="Palatino Linotype" w:eastAsia="Calibri" w:hAnsi="Palatino Linotype" w:cs="Arial"/>
          <w:sz w:val="10"/>
          <w:szCs w:val="10"/>
        </w:rPr>
      </w:pPr>
    </w:p>
    <w:p w:rsidR="009B7518" w:rsidRPr="002955E3" w:rsidRDefault="009B7518" w:rsidP="00A104B0">
      <w:pPr>
        <w:ind w:left="851" w:right="902"/>
        <w:jc w:val="both"/>
        <w:rPr>
          <w:rFonts w:ascii="Palatino Linotype" w:eastAsia="Calibri" w:hAnsi="Palatino Linotype" w:cs="Arial"/>
          <w:i/>
          <w:sz w:val="22"/>
          <w:szCs w:val="22"/>
        </w:rPr>
      </w:pPr>
      <w:r w:rsidRPr="002955E3">
        <w:rPr>
          <w:rFonts w:ascii="Palatino Linotype" w:eastAsia="Calibri" w:hAnsi="Palatino Linotype"/>
          <w:i/>
          <w:sz w:val="22"/>
          <w:szCs w:val="22"/>
        </w:rPr>
        <w:t>“</w:t>
      </w:r>
      <w:r w:rsidRPr="002955E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955E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955E3">
        <w:rPr>
          <w:rFonts w:ascii="Palatino Linotype" w:eastAsia="Calibri" w:hAnsi="Palatino Linotype"/>
          <w:i/>
          <w:sz w:val="22"/>
          <w:szCs w:val="22"/>
        </w:rPr>
        <w:t>officio</w:t>
      </w:r>
      <w:proofErr w:type="spellEnd"/>
      <w:r w:rsidRPr="002955E3">
        <w:rPr>
          <w:rFonts w:ascii="Palatino Linotype" w:eastAsia="Calibri" w:hAnsi="Palatino Linotype"/>
          <w:i/>
          <w:sz w:val="22"/>
          <w:szCs w:val="22"/>
        </w:rPr>
        <w:t>, con el propósito de obtener una versión que sea pública para la parte interesada.” (</w:t>
      </w:r>
      <w:proofErr w:type="gramStart"/>
      <w:r w:rsidRPr="002955E3">
        <w:rPr>
          <w:rFonts w:ascii="Palatino Linotype" w:eastAsia="Calibri" w:hAnsi="Palatino Linotype"/>
          <w:i/>
          <w:sz w:val="22"/>
          <w:szCs w:val="22"/>
        </w:rPr>
        <w:t>sic</w:t>
      </w:r>
      <w:proofErr w:type="gramEnd"/>
      <w:r w:rsidRPr="002955E3">
        <w:rPr>
          <w:rFonts w:ascii="Palatino Linotype" w:eastAsia="Calibri" w:hAnsi="Palatino Linotype"/>
          <w:i/>
          <w:sz w:val="22"/>
          <w:szCs w:val="22"/>
        </w:rPr>
        <w:t>)</w:t>
      </w:r>
    </w:p>
    <w:p w:rsidR="00A104B0" w:rsidRPr="00ED5CBD" w:rsidRDefault="00A104B0" w:rsidP="00A104B0">
      <w:pPr>
        <w:spacing w:line="360" w:lineRule="auto"/>
        <w:jc w:val="both"/>
        <w:rPr>
          <w:rFonts w:ascii="Palatino Linotype" w:hAnsi="Palatino Linotype"/>
          <w:sz w:val="10"/>
          <w:szCs w:val="10"/>
        </w:rPr>
      </w:pPr>
    </w:p>
    <w:p w:rsidR="009B7518" w:rsidRDefault="009B7518" w:rsidP="00A104B0">
      <w:pPr>
        <w:spacing w:line="360" w:lineRule="auto"/>
        <w:jc w:val="both"/>
        <w:rPr>
          <w:rFonts w:ascii="Palatino Linotype" w:hAnsi="Palatino Linotype"/>
          <w:b/>
        </w:rPr>
      </w:pPr>
      <w:r w:rsidRPr="002955E3">
        <w:rPr>
          <w:rFonts w:ascii="Palatino Linotype" w:hAnsi="Palatino Linotype"/>
        </w:rPr>
        <w:lastRenderedPageBreak/>
        <w:t xml:space="preserve">Prueba de daño, que cobra relevancia puesto que sí ésta </w:t>
      </w:r>
      <w:r w:rsidRPr="002955E3">
        <w:rPr>
          <w:rFonts w:ascii="Palatino Linotype" w:hAnsi="Palatino Linotype"/>
          <w:b/>
        </w:rPr>
        <w:t>no arroja resultados contundentes sobre un posible peligro, deberá de publicarse la información.</w:t>
      </w:r>
    </w:p>
    <w:p w:rsidR="00A104B0" w:rsidRPr="00ED5CBD" w:rsidRDefault="00A104B0" w:rsidP="00A104B0">
      <w:pPr>
        <w:spacing w:line="360" w:lineRule="auto"/>
        <w:jc w:val="both"/>
        <w:rPr>
          <w:rFonts w:ascii="Palatino Linotype" w:hAnsi="Palatino Linotype"/>
          <w:b/>
          <w:sz w:val="10"/>
          <w:szCs w:val="10"/>
        </w:rPr>
      </w:pPr>
    </w:p>
    <w:p w:rsidR="002955E3" w:rsidRDefault="002955E3" w:rsidP="00A104B0">
      <w:pPr>
        <w:spacing w:line="360" w:lineRule="auto"/>
        <w:jc w:val="both"/>
        <w:rPr>
          <w:rFonts w:ascii="Palatino Linotype" w:hAnsi="Palatino Linotype"/>
        </w:rPr>
      </w:pPr>
      <w:r w:rsidRPr="002955E3">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A104B0" w:rsidRPr="00ED5CBD" w:rsidRDefault="00A104B0" w:rsidP="00A104B0">
      <w:pPr>
        <w:spacing w:line="360" w:lineRule="auto"/>
        <w:jc w:val="both"/>
        <w:rPr>
          <w:rFonts w:ascii="Palatino Linotype" w:hAnsi="Palatino Linotype"/>
          <w:sz w:val="10"/>
          <w:szCs w:val="10"/>
        </w:rPr>
      </w:pPr>
    </w:p>
    <w:p w:rsidR="002955E3" w:rsidRDefault="002955E3" w:rsidP="00A104B0">
      <w:pPr>
        <w:spacing w:line="360" w:lineRule="auto"/>
        <w:jc w:val="both"/>
        <w:rPr>
          <w:rFonts w:ascii="Palatino Linotype" w:hAnsi="Palatino Linotype"/>
        </w:rPr>
      </w:pPr>
      <w:r w:rsidRPr="002955E3">
        <w:rPr>
          <w:rFonts w:ascii="Palatino Linotype" w:hAnsi="Palatino Linotype"/>
        </w:rPr>
        <w:t xml:space="preserve">De este modo, es necesario que </w:t>
      </w:r>
      <w:r w:rsidRPr="002955E3">
        <w:rPr>
          <w:rFonts w:ascii="Palatino Linotype" w:hAnsi="Palatino Linotype"/>
          <w:b/>
        </w:rPr>
        <w:t>EL SUJETO OBLIGADO</w:t>
      </w:r>
      <w:r w:rsidRPr="002955E3">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A104B0" w:rsidRPr="00ED5CBD" w:rsidRDefault="00A104B0" w:rsidP="00A104B0">
      <w:pPr>
        <w:spacing w:line="360" w:lineRule="auto"/>
        <w:jc w:val="both"/>
        <w:rPr>
          <w:rFonts w:ascii="Palatino Linotype" w:hAnsi="Palatino Linotype"/>
          <w:sz w:val="10"/>
          <w:szCs w:val="10"/>
        </w:rPr>
      </w:pPr>
    </w:p>
    <w:p w:rsidR="002955E3" w:rsidRDefault="002955E3" w:rsidP="00A104B0">
      <w:pPr>
        <w:spacing w:line="360" w:lineRule="auto"/>
        <w:jc w:val="both"/>
        <w:rPr>
          <w:rFonts w:ascii="Palatino Linotype" w:hAnsi="Palatino Linotype"/>
        </w:rPr>
      </w:pPr>
      <w:r w:rsidRPr="002955E3">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w:t>
      </w:r>
      <w:r w:rsidR="00D37B55">
        <w:rPr>
          <w:rFonts w:ascii="Palatino Linotype" w:hAnsi="Palatino Linotype"/>
        </w:rPr>
        <w:t>,</w:t>
      </w:r>
      <w:r w:rsidRPr="002955E3">
        <w:rPr>
          <w:rFonts w:ascii="Palatino Linotype" w:hAnsi="Palatino Linotype"/>
        </w:rPr>
        <w:t xml:space="preserve">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rsidR="002955E3" w:rsidRPr="002955E3" w:rsidRDefault="002955E3" w:rsidP="00A104B0">
      <w:pPr>
        <w:spacing w:line="360" w:lineRule="auto"/>
        <w:jc w:val="both"/>
        <w:rPr>
          <w:rFonts w:ascii="Palatino Linotype" w:hAnsi="Palatino Linotype"/>
        </w:rPr>
      </w:pPr>
      <w:r w:rsidRPr="002955E3">
        <w:rPr>
          <w:rFonts w:ascii="Palatino Linotype" w:hAnsi="Palatino Linotype"/>
        </w:rPr>
        <w:lastRenderedPageBreak/>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2955E3" w:rsidRDefault="002955E3" w:rsidP="00A104B0">
      <w:pPr>
        <w:spacing w:line="360" w:lineRule="auto"/>
        <w:jc w:val="both"/>
        <w:rPr>
          <w:rFonts w:ascii="Palatino Linotype" w:hAnsi="Palatino Linotype"/>
          <w:bCs/>
        </w:rPr>
      </w:pPr>
      <w:r w:rsidRPr="002955E3">
        <w:rPr>
          <w:rFonts w:ascii="Palatino Linotype" w:hAnsi="Palatino Linotype"/>
          <w:bCs/>
        </w:rPr>
        <w:t>Sirve de sustento a lo anterior, la Tesis jurisprudencial número I.4º.A. J/43, publicada en el Semanario Judicial de la Federación y su Gaceta, bajo el número de registro 175,082; que a la letra dice:</w:t>
      </w:r>
    </w:p>
    <w:p w:rsidR="00A104B0" w:rsidRPr="00ED5CBD" w:rsidRDefault="00A104B0" w:rsidP="00A104B0">
      <w:pPr>
        <w:spacing w:line="360" w:lineRule="auto"/>
        <w:jc w:val="both"/>
        <w:rPr>
          <w:rFonts w:ascii="Palatino Linotype" w:hAnsi="Palatino Linotype"/>
          <w:bCs/>
          <w:sz w:val="10"/>
          <w:szCs w:val="10"/>
        </w:rPr>
      </w:pPr>
    </w:p>
    <w:p w:rsidR="002955E3" w:rsidRPr="002955E3" w:rsidRDefault="002955E3" w:rsidP="00A104B0">
      <w:pPr>
        <w:ind w:left="851" w:right="902"/>
        <w:jc w:val="both"/>
        <w:rPr>
          <w:rFonts w:ascii="Palatino Linotype" w:hAnsi="Palatino Linotype"/>
          <w:i/>
          <w:sz w:val="22"/>
          <w:szCs w:val="22"/>
        </w:rPr>
      </w:pPr>
      <w:r w:rsidRPr="002955E3">
        <w:rPr>
          <w:rFonts w:ascii="Palatino Linotype" w:hAnsi="Palatino Linotype"/>
          <w:i/>
          <w:sz w:val="22"/>
          <w:szCs w:val="22"/>
        </w:rPr>
        <w:t>“</w:t>
      </w:r>
      <w:r w:rsidRPr="002955E3">
        <w:rPr>
          <w:rFonts w:ascii="Palatino Linotype" w:hAnsi="Palatino Linotype"/>
          <w:b/>
          <w:i/>
          <w:sz w:val="22"/>
          <w:szCs w:val="22"/>
        </w:rPr>
        <w:t>FUNDAMENTACIÓN Y MOTIVACIÓN. EL ASPECTO FORMAL DE LA GARANTÍA Y SU FINALIDAD SE TRADUCEN EN EXPLICAR, JUSTIFICAR, POSIBILITAR LA DEFENSA Y COMUNICAR LA DECISIÓN. </w:t>
      </w:r>
      <w:r w:rsidRPr="002955E3">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w:t>
      </w:r>
      <w:r w:rsidRPr="002955E3">
        <w:rPr>
          <w:rFonts w:ascii="Palatino Linotype" w:hAnsi="Palatino Linotype"/>
          <w:b/>
          <w:i/>
          <w:sz w:val="22"/>
          <w:szCs w:val="22"/>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955E3">
        <w:rPr>
          <w:rFonts w:ascii="Palatino Linotype" w:hAnsi="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955E3">
        <w:rPr>
          <w:rFonts w:ascii="Palatino Linotype" w:hAnsi="Palatino Linotype"/>
          <w:b/>
          <w:i/>
          <w:sz w:val="22"/>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955E3">
        <w:rPr>
          <w:rFonts w:ascii="Palatino Linotype" w:hAnsi="Palatino Linotype"/>
          <w:i/>
          <w:sz w:val="22"/>
          <w:szCs w:val="22"/>
        </w:rPr>
        <w:t> del que se deduzca la relación de pertenencia lógica de los hechos al derecho invocado, que es la subsunción.”</w:t>
      </w:r>
    </w:p>
    <w:p w:rsidR="00A104B0" w:rsidRPr="00ED5CBD" w:rsidRDefault="00A104B0" w:rsidP="00A104B0">
      <w:pPr>
        <w:autoSpaceDE w:val="0"/>
        <w:autoSpaceDN w:val="0"/>
        <w:adjustRightInd w:val="0"/>
        <w:spacing w:line="360" w:lineRule="auto"/>
        <w:jc w:val="both"/>
        <w:rPr>
          <w:rFonts w:ascii="Palatino Linotype" w:hAnsi="Palatino Linotype"/>
          <w:bCs/>
          <w:sz w:val="10"/>
          <w:szCs w:val="10"/>
        </w:rPr>
      </w:pPr>
    </w:p>
    <w:p w:rsidR="002955E3" w:rsidRPr="002955E3" w:rsidRDefault="002955E3" w:rsidP="00A104B0">
      <w:pPr>
        <w:autoSpaceDE w:val="0"/>
        <w:autoSpaceDN w:val="0"/>
        <w:adjustRightInd w:val="0"/>
        <w:spacing w:line="360" w:lineRule="auto"/>
        <w:jc w:val="both"/>
        <w:rPr>
          <w:rFonts w:ascii="Palatino Linotype" w:hAnsi="Palatino Linotype"/>
          <w:bCs/>
        </w:rPr>
      </w:pPr>
      <w:r w:rsidRPr="002955E3">
        <w:rPr>
          <w:rFonts w:ascii="Palatino Linotype" w:hAnsi="Palatino Linotype"/>
          <w:bCs/>
        </w:rPr>
        <w:t xml:space="preserve">Por </w:t>
      </w:r>
      <w:r>
        <w:rPr>
          <w:rFonts w:ascii="Palatino Linotype" w:hAnsi="Palatino Linotype"/>
          <w:bCs/>
        </w:rPr>
        <w:t xml:space="preserve">ello, </w:t>
      </w:r>
      <w:r w:rsidRPr="002955E3">
        <w:rPr>
          <w:rFonts w:ascii="Palatino Linotype" w:hAnsi="Palatino Linotype"/>
          <w:bCs/>
        </w:rPr>
        <w:t>hasta en tanto no haya causado ejecutoria la sentencia de los expedientes civiles</w:t>
      </w:r>
      <w:r>
        <w:rPr>
          <w:rFonts w:ascii="Palatino Linotype" w:hAnsi="Palatino Linotype"/>
          <w:bCs/>
        </w:rPr>
        <w:t xml:space="preserve">, mercantiles y penales requeridos y </w:t>
      </w:r>
      <w:r w:rsidRPr="002955E3">
        <w:rPr>
          <w:rFonts w:ascii="Palatino Linotype" w:hAnsi="Palatino Linotype"/>
          <w:bCs/>
        </w:rPr>
        <w:t xml:space="preserve">con </w:t>
      </w:r>
      <w:r>
        <w:rPr>
          <w:rFonts w:ascii="Palatino Linotype" w:hAnsi="Palatino Linotype"/>
          <w:bCs/>
        </w:rPr>
        <w:t xml:space="preserve">los </w:t>
      </w:r>
      <w:r w:rsidRPr="002955E3">
        <w:rPr>
          <w:rFonts w:ascii="Palatino Linotype" w:hAnsi="Palatino Linotype"/>
          <w:bCs/>
        </w:rPr>
        <w:t xml:space="preserve">que cuente </w:t>
      </w:r>
      <w:r w:rsidRPr="002955E3">
        <w:rPr>
          <w:rFonts w:ascii="Palatino Linotype" w:hAnsi="Palatino Linotype"/>
          <w:b/>
          <w:bCs/>
        </w:rPr>
        <w:t>EL SUJETO OBLIGADO</w:t>
      </w:r>
      <w:r w:rsidRPr="002955E3">
        <w:rPr>
          <w:rFonts w:ascii="Palatino Linotype" w:hAnsi="Palatino Linotype"/>
          <w:bCs/>
        </w:rPr>
        <w:t xml:space="preserve"> </w:t>
      </w:r>
      <w:r w:rsidRPr="002955E3">
        <w:rPr>
          <w:rFonts w:ascii="Palatino Linotype" w:hAnsi="Palatino Linotype"/>
          <w:bCs/>
        </w:rPr>
        <w:lastRenderedPageBreak/>
        <w:t>en contra del Ayuntamiento, deberá realizar el Acuerdo correspondiente para clasificar la información como reservada, en e</w:t>
      </w:r>
      <w:r w:rsidR="00D37B55">
        <w:rPr>
          <w:rFonts w:ascii="Palatino Linotype" w:hAnsi="Palatino Linotype"/>
          <w:bCs/>
        </w:rPr>
        <w:t>l que aplique la prueba de daño correspondiente.</w:t>
      </w:r>
    </w:p>
    <w:p w:rsidR="004900F4" w:rsidRDefault="004900F4" w:rsidP="00A104B0">
      <w:pPr>
        <w:spacing w:line="360" w:lineRule="auto"/>
        <w:jc w:val="both"/>
        <w:rPr>
          <w:rFonts w:ascii="Palatino Linotype" w:hAnsi="Palatino Linotype" w:cs="Arial"/>
        </w:rPr>
      </w:pPr>
      <w:r w:rsidRPr="002955E3">
        <w:rPr>
          <w:rFonts w:ascii="Palatino Linotype" w:hAnsi="Palatino Linotype" w:cs="Arial"/>
        </w:rPr>
        <w:t xml:space="preserve">Es por lo anteriormente expuesto que, la que suscrita emite </w:t>
      </w:r>
      <w:r w:rsidRPr="002955E3">
        <w:rPr>
          <w:rFonts w:ascii="Palatino Linotype" w:hAnsi="Palatino Linotype" w:cs="Arial"/>
          <w:b/>
        </w:rPr>
        <w:t>VOTO PARTICULAR</w:t>
      </w:r>
      <w:r w:rsidRPr="002955E3">
        <w:rPr>
          <w:rFonts w:ascii="Palatino Linotype" w:hAnsi="Palatino Linotype" w:cs="Arial"/>
        </w:rPr>
        <w:t xml:space="preserve">, pues se insiste que lo procedente </w:t>
      </w:r>
      <w:r w:rsidR="002955E3">
        <w:rPr>
          <w:rFonts w:ascii="Palatino Linotype" w:hAnsi="Palatino Linotype" w:cs="Arial"/>
        </w:rPr>
        <w:t>era que la Ponencia Resolutora precisara en Resolutivos que la información solicitada era susceptible de considerarse como reservada en el caso de que los expedientes aun no hubieran causado estado a la fecha de presentación</w:t>
      </w:r>
      <w:r w:rsidR="00D37B55">
        <w:rPr>
          <w:rFonts w:ascii="Palatino Linotype" w:hAnsi="Palatino Linotype" w:cs="Arial"/>
        </w:rPr>
        <w:t xml:space="preserve"> de la solicitud de información;</w:t>
      </w:r>
      <w:r w:rsidR="002955E3">
        <w:rPr>
          <w:rFonts w:ascii="Palatino Linotype" w:hAnsi="Palatino Linotype" w:cs="Arial"/>
        </w:rPr>
        <w:t xml:space="preserve"> </w:t>
      </w:r>
      <w:r w:rsidRPr="002955E3">
        <w:rPr>
          <w:rFonts w:ascii="Palatino Linotype" w:hAnsi="Palatino Linotype" w:cs="Arial"/>
        </w:rPr>
        <w:t>ello</w:t>
      </w:r>
      <w:r w:rsidR="00D37B55">
        <w:rPr>
          <w:rFonts w:ascii="Palatino Linotype" w:hAnsi="Palatino Linotype" w:cs="Arial"/>
        </w:rPr>
        <w:t>,</w:t>
      </w:r>
      <w:r w:rsidRPr="002955E3">
        <w:rPr>
          <w:rFonts w:ascii="Palatino Linotype" w:hAnsi="Palatino Linotype" w:cs="Arial"/>
        </w:rPr>
        <w:t xml:space="preserve"> en apego a los principios</w:t>
      </w:r>
      <w:r w:rsidR="002955E3">
        <w:rPr>
          <w:rFonts w:ascii="Palatino Linotype" w:hAnsi="Palatino Linotype" w:cs="Arial"/>
        </w:rPr>
        <w:t xml:space="preserve"> de exhaustividad y congruencia</w:t>
      </w:r>
      <w:r w:rsidR="002955E3">
        <w:rPr>
          <w:rStyle w:val="Refdenotaalpie"/>
          <w:rFonts w:ascii="Palatino Linotype" w:hAnsi="Palatino Linotype" w:cs="Arial"/>
        </w:rPr>
        <w:footnoteReference w:id="1"/>
      </w:r>
      <w:r w:rsidR="002955E3">
        <w:rPr>
          <w:rFonts w:ascii="Palatino Linotype" w:hAnsi="Palatino Linotype" w:cs="Arial"/>
        </w:rPr>
        <w:t>.</w:t>
      </w:r>
    </w:p>
    <w:p w:rsidR="00ED5CBD" w:rsidRPr="00C436AA" w:rsidRDefault="00ED5CBD" w:rsidP="00A104B0">
      <w:pPr>
        <w:spacing w:line="360" w:lineRule="auto"/>
        <w:jc w:val="both"/>
        <w:rPr>
          <w:rFonts w:ascii="Palatino Linotype" w:hAnsi="Palatino Linotype" w:cs="Arial"/>
          <w:sz w:val="16"/>
          <w:szCs w:val="16"/>
        </w:rPr>
      </w:pPr>
    </w:p>
    <w:p w:rsidR="00ED5CBD" w:rsidRPr="00C436AA" w:rsidRDefault="00ED5CBD" w:rsidP="00A104B0">
      <w:pPr>
        <w:spacing w:line="360" w:lineRule="auto"/>
        <w:jc w:val="both"/>
        <w:rPr>
          <w:rFonts w:ascii="Palatino Linotype" w:hAnsi="Palatino Linotype" w:cs="Arial"/>
          <w:sz w:val="18"/>
          <w:szCs w:val="18"/>
        </w:rPr>
      </w:pPr>
      <w:bookmarkStart w:id="0" w:name="_GoBack"/>
      <w:bookmarkEnd w:id="0"/>
    </w:p>
    <w:tbl>
      <w:tblPr>
        <w:tblW w:w="4393" w:type="dxa"/>
        <w:jc w:val="center"/>
        <w:tblLayout w:type="fixed"/>
        <w:tblLook w:val="04A0" w:firstRow="1" w:lastRow="0" w:firstColumn="1" w:lastColumn="0" w:noHBand="0" w:noVBand="1"/>
      </w:tblPr>
      <w:tblGrid>
        <w:gridCol w:w="4393"/>
      </w:tblGrid>
      <w:tr w:rsidR="004900F4" w:rsidRPr="002955E3" w:rsidTr="0022419E">
        <w:trPr>
          <w:jc w:val="center"/>
        </w:trPr>
        <w:tc>
          <w:tcPr>
            <w:tcW w:w="4393" w:type="dxa"/>
          </w:tcPr>
          <w:p w:rsidR="004900F4" w:rsidRPr="002955E3" w:rsidRDefault="004900F4" w:rsidP="00A104B0">
            <w:pPr>
              <w:jc w:val="center"/>
              <w:rPr>
                <w:rFonts w:ascii="Palatino Linotype" w:hAnsi="Palatino Linotype"/>
                <w:b/>
              </w:rPr>
            </w:pPr>
            <w:r w:rsidRPr="002955E3">
              <w:rPr>
                <w:rFonts w:ascii="Palatino Linotype" w:hAnsi="Palatino Linotype"/>
                <w:b/>
              </w:rPr>
              <w:t>EVA ABAID YAPUR</w:t>
            </w:r>
          </w:p>
          <w:p w:rsidR="004900F4" w:rsidRDefault="004900F4" w:rsidP="00C436AA">
            <w:pPr>
              <w:jc w:val="center"/>
              <w:rPr>
                <w:rFonts w:ascii="Palatino Linotype" w:hAnsi="Palatino Linotype"/>
                <w:b/>
              </w:rPr>
            </w:pPr>
            <w:r w:rsidRPr="002955E3">
              <w:rPr>
                <w:rFonts w:ascii="Palatino Linotype" w:hAnsi="Palatino Linotype"/>
                <w:b/>
              </w:rPr>
              <w:t>COMISIONADA</w:t>
            </w:r>
          </w:p>
          <w:p w:rsidR="00F2575A" w:rsidRPr="002955E3" w:rsidRDefault="00F2575A" w:rsidP="00C436AA">
            <w:pPr>
              <w:jc w:val="center"/>
              <w:rPr>
                <w:rFonts w:ascii="Palatino Linotype" w:hAnsi="Palatino Linotype"/>
                <w:b/>
              </w:rPr>
            </w:pPr>
            <w:r>
              <w:rPr>
                <w:rFonts w:ascii="Palatino Linotype" w:hAnsi="Palatino Linotype"/>
                <w:b/>
              </w:rPr>
              <w:t>(RÚBRICA)</w:t>
            </w:r>
          </w:p>
        </w:tc>
      </w:tr>
    </w:tbl>
    <w:p w:rsidR="00C436AA" w:rsidRDefault="00C436AA" w:rsidP="00A104B0">
      <w:pPr>
        <w:jc w:val="both"/>
        <w:rPr>
          <w:rFonts w:ascii="Palatino Linotype" w:eastAsia="Calibri" w:hAnsi="Palatino Linotype" w:cs="Arial"/>
          <w:color w:val="000000" w:themeColor="text1"/>
          <w:sz w:val="8"/>
          <w:szCs w:val="8"/>
        </w:rPr>
      </w:pPr>
    </w:p>
    <w:p w:rsidR="00F2575A" w:rsidRDefault="00F2575A" w:rsidP="00A104B0">
      <w:pPr>
        <w:jc w:val="both"/>
        <w:rPr>
          <w:rFonts w:ascii="Palatino Linotype" w:eastAsia="Calibri" w:hAnsi="Palatino Linotype" w:cs="Arial"/>
          <w:color w:val="000000" w:themeColor="text1"/>
          <w:sz w:val="8"/>
          <w:szCs w:val="8"/>
        </w:rPr>
      </w:pPr>
    </w:p>
    <w:p w:rsidR="00F2575A" w:rsidRDefault="00F2575A" w:rsidP="00A104B0">
      <w:pPr>
        <w:jc w:val="both"/>
        <w:rPr>
          <w:rFonts w:ascii="Palatino Linotype" w:eastAsia="Calibri" w:hAnsi="Palatino Linotype" w:cs="Arial"/>
          <w:color w:val="000000" w:themeColor="text1"/>
          <w:sz w:val="8"/>
          <w:szCs w:val="8"/>
        </w:rPr>
      </w:pPr>
    </w:p>
    <w:p w:rsidR="00F2575A" w:rsidRDefault="00F2575A" w:rsidP="00A104B0">
      <w:pPr>
        <w:jc w:val="both"/>
        <w:rPr>
          <w:rFonts w:ascii="Palatino Linotype" w:eastAsia="Calibri" w:hAnsi="Palatino Linotype" w:cs="Arial"/>
          <w:color w:val="000000" w:themeColor="text1"/>
          <w:sz w:val="8"/>
          <w:szCs w:val="8"/>
        </w:rPr>
      </w:pPr>
    </w:p>
    <w:p w:rsidR="00F2575A" w:rsidRDefault="00F2575A" w:rsidP="00A104B0">
      <w:pPr>
        <w:jc w:val="both"/>
        <w:rPr>
          <w:rFonts w:ascii="Palatino Linotype" w:eastAsia="Calibri" w:hAnsi="Palatino Linotype" w:cs="Arial"/>
          <w:color w:val="000000" w:themeColor="text1"/>
          <w:sz w:val="8"/>
          <w:szCs w:val="8"/>
        </w:rPr>
      </w:pPr>
    </w:p>
    <w:p w:rsidR="00F2575A" w:rsidRPr="00C436AA" w:rsidRDefault="00F2575A" w:rsidP="00A104B0">
      <w:pPr>
        <w:jc w:val="both"/>
        <w:rPr>
          <w:rFonts w:ascii="Palatino Linotype" w:eastAsia="Calibri" w:hAnsi="Palatino Linotype" w:cs="Arial"/>
          <w:color w:val="000000" w:themeColor="text1"/>
          <w:sz w:val="8"/>
          <w:szCs w:val="8"/>
        </w:rPr>
      </w:pPr>
    </w:p>
    <w:p w:rsidR="00C436AA" w:rsidRDefault="004900F4" w:rsidP="00A104B0">
      <w:pPr>
        <w:jc w:val="both"/>
        <w:rPr>
          <w:rFonts w:ascii="Palatino Linotype" w:eastAsia="Calibri" w:hAnsi="Palatino Linotype" w:cs="Arial"/>
          <w:color w:val="000000" w:themeColor="text1"/>
          <w:sz w:val="20"/>
          <w:szCs w:val="20"/>
        </w:rPr>
      </w:pPr>
      <w:r w:rsidRPr="002955E3">
        <w:rPr>
          <w:rFonts w:ascii="Palatino Linotype" w:eastAsia="Calibri" w:hAnsi="Palatino Linotype" w:cs="Arial"/>
          <w:color w:val="000000" w:themeColor="text1"/>
          <w:sz w:val="20"/>
          <w:szCs w:val="20"/>
        </w:rPr>
        <w:t>Esta hoja corresponde al voto particular emitido en la resolución d</w:t>
      </w:r>
      <w:r w:rsidR="002955E3">
        <w:rPr>
          <w:rFonts w:ascii="Palatino Linotype" w:eastAsia="Calibri" w:hAnsi="Palatino Linotype" w:cs="Arial"/>
          <w:color w:val="000000" w:themeColor="text1"/>
          <w:sz w:val="20"/>
          <w:szCs w:val="20"/>
        </w:rPr>
        <w:t>e los</w:t>
      </w:r>
      <w:r w:rsidRPr="002955E3">
        <w:rPr>
          <w:rFonts w:ascii="Palatino Linotype" w:eastAsia="Calibri" w:hAnsi="Palatino Linotype" w:cs="Arial"/>
          <w:color w:val="000000" w:themeColor="text1"/>
          <w:sz w:val="20"/>
          <w:szCs w:val="20"/>
        </w:rPr>
        <w:t xml:space="preserve"> recurso</w:t>
      </w:r>
      <w:r w:rsidR="002955E3">
        <w:rPr>
          <w:rFonts w:ascii="Palatino Linotype" w:eastAsia="Calibri" w:hAnsi="Palatino Linotype" w:cs="Arial"/>
          <w:color w:val="000000" w:themeColor="text1"/>
          <w:sz w:val="20"/>
          <w:szCs w:val="20"/>
        </w:rPr>
        <w:t>s</w:t>
      </w:r>
      <w:r w:rsidRPr="002955E3">
        <w:rPr>
          <w:rFonts w:ascii="Palatino Linotype" w:eastAsia="Calibri" w:hAnsi="Palatino Linotype" w:cs="Arial"/>
          <w:color w:val="000000" w:themeColor="text1"/>
          <w:sz w:val="20"/>
          <w:szCs w:val="20"/>
        </w:rPr>
        <w:t xml:space="preserve"> de revisión </w:t>
      </w:r>
      <w:r w:rsidR="002955E3">
        <w:rPr>
          <w:rFonts w:ascii="Palatino Linotype" w:eastAsia="Calibri" w:hAnsi="Palatino Linotype" w:cs="Arial"/>
          <w:color w:val="000000" w:themeColor="text1"/>
          <w:sz w:val="20"/>
          <w:szCs w:val="20"/>
        </w:rPr>
        <w:t xml:space="preserve">acumulados </w:t>
      </w:r>
      <w:r w:rsidRPr="002955E3">
        <w:rPr>
          <w:rFonts w:ascii="Palatino Linotype" w:eastAsia="Calibri" w:hAnsi="Palatino Linotype" w:cs="Arial"/>
          <w:color w:val="000000" w:themeColor="text1"/>
          <w:sz w:val="20"/>
          <w:szCs w:val="20"/>
        </w:rPr>
        <w:t>0</w:t>
      </w:r>
      <w:r w:rsidR="002955E3">
        <w:rPr>
          <w:rFonts w:ascii="Palatino Linotype" w:eastAsia="Calibri" w:hAnsi="Palatino Linotype" w:cs="Arial"/>
          <w:color w:val="000000" w:themeColor="text1"/>
          <w:sz w:val="20"/>
          <w:szCs w:val="20"/>
        </w:rPr>
        <w:t>4530</w:t>
      </w:r>
      <w:r w:rsidRPr="002955E3">
        <w:rPr>
          <w:rFonts w:ascii="Palatino Linotype" w:eastAsia="Calibri" w:hAnsi="Palatino Linotype" w:cs="Arial"/>
          <w:color w:val="000000" w:themeColor="text1"/>
          <w:sz w:val="20"/>
          <w:szCs w:val="20"/>
        </w:rPr>
        <w:t>/INFOEM/IP/RR/2018</w:t>
      </w:r>
      <w:r w:rsidR="002955E3">
        <w:rPr>
          <w:rFonts w:ascii="Palatino Linotype" w:eastAsia="Calibri" w:hAnsi="Palatino Linotype" w:cs="Arial"/>
          <w:color w:val="000000" w:themeColor="text1"/>
          <w:sz w:val="20"/>
          <w:szCs w:val="20"/>
        </w:rPr>
        <w:t xml:space="preserve"> y </w:t>
      </w:r>
      <w:r w:rsidR="002955E3" w:rsidRPr="002955E3">
        <w:rPr>
          <w:rFonts w:ascii="Palatino Linotype" w:eastAsia="Calibri" w:hAnsi="Palatino Linotype" w:cs="Arial"/>
          <w:color w:val="000000" w:themeColor="text1"/>
          <w:sz w:val="20"/>
          <w:szCs w:val="20"/>
        </w:rPr>
        <w:t>0</w:t>
      </w:r>
      <w:r w:rsidR="002955E3">
        <w:rPr>
          <w:rFonts w:ascii="Palatino Linotype" w:eastAsia="Calibri" w:hAnsi="Palatino Linotype" w:cs="Arial"/>
          <w:color w:val="000000" w:themeColor="text1"/>
          <w:sz w:val="20"/>
          <w:szCs w:val="20"/>
        </w:rPr>
        <w:t>4531</w:t>
      </w:r>
      <w:r w:rsidR="002955E3" w:rsidRPr="002955E3">
        <w:rPr>
          <w:rFonts w:ascii="Palatino Linotype" w:eastAsia="Calibri" w:hAnsi="Palatino Linotype" w:cs="Arial"/>
          <w:color w:val="000000" w:themeColor="text1"/>
          <w:sz w:val="20"/>
          <w:szCs w:val="20"/>
        </w:rPr>
        <w:t>/INFOEM/IP/RR/2018</w:t>
      </w:r>
      <w:r w:rsidRPr="002955E3">
        <w:rPr>
          <w:rFonts w:ascii="Palatino Linotype" w:eastAsia="Calibri" w:hAnsi="Palatino Linotype" w:cs="Arial"/>
          <w:color w:val="000000" w:themeColor="text1"/>
          <w:sz w:val="20"/>
          <w:szCs w:val="20"/>
        </w:rPr>
        <w:t>, aprobada el tre</w:t>
      </w:r>
      <w:r w:rsidR="002955E3">
        <w:rPr>
          <w:rFonts w:ascii="Palatino Linotype" w:eastAsia="Calibri" w:hAnsi="Palatino Linotype" w:cs="Arial"/>
          <w:color w:val="000000" w:themeColor="text1"/>
          <w:sz w:val="20"/>
          <w:szCs w:val="20"/>
        </w:rPr>
        <w:t xml:space="preserve">ce de febrero de </w:t>
      </w:r>
      <w:r w:rsidRPr="002955E3">
        <w:rPr>
          <w:rFonts w:ascii="Palatino Linotype" w:eastAsia="Calibri" w:hAnsi="Palatino Linotype" w:cs="Arial"/>
          <w:color w:val="000000" w:themeColor="text1"/>
          <w:sz w:val="20"/>
          <w:szCs w:val="20"/>
        </w:rPr>
        <w:t>dos mil dieci</w:t>
      </w:r>
      <w:r w:rsidR="002955E3">
        <w:rPr>
          <w:rFonts w:ascii="Palatino Linotype" w:eastAsia="Calibri" w:hAnsi="Palatino Linotype" w:cs="Arial"/>
          <w:color w:val="000000" w:themeColor="text1"/>
          <w:sz w:val="20"/>
          <w:szCs w:val="20"/>
        </w:rPr>
        <w:t>nueve</w:t>
      </w:r>
      <w:r w:rsidRPr="002955E3">
        <w:rPr>
          <w:rFonts w:ascii="Palatino Linotype" w:eastAsia="Calibri" w:hAnsi="Palatino Linotype" w:cs="Arial"/>
          <w:color w:val="000000" w:themeColor="text1"/>
          <w:sz w:val="20"/>
          <w:szCs w:val="20"/>
        </w:rPr>
        <w:t xml:space="preserve">. </w:t>
      </w:r>
    </w:p>
    <w:p w:rsidR="00C436AA" w:rsidRPr="00C436AA" w:rsidRDefault="00C436AA" w:rsidP="00A104B0">
      <w:pPr>
        <w:jc w:val="both"/>
        <w:rPr>
          <w:rFonts w:ascii="Palatino Linotype" w:eastAsia="Calibri" w:hAnsi="Palatino Linotype" w:cs="Arial"/>
          <w:color w:val="000000" w:themeColor="text1"/>
          <w:sz w:val="8"/>
          <w:szCs w:val="8"/>
        </w:rPr>
      </w:pPr>
    </w:p>
    <w:p w:rsidR="00C23B43" w:rsidRPr="002955E3" w:rsidRDefault="004900F4" w:rsidP="00A104B0">
      <w:pPr>
        <w:jc w:val="both"/>
      </w:pPr>
      <w:r w:rsidRPr="002955E3">
        <w:rPr>
          <w:rFonts w:ascii="Palatino Linotype" w:eastAsia="Calibri" w:hAnsi="Palatino Linotype" w:cs="Arial"/>
          <w:color w:val="000000" w:themeColor="text1"/>
          <w:sz w:val="18"/>
          <w:szCs w:val="18"/>
        </w:rPr>
        <w:t>YSM/AMV</w:t>
      </w:r>
    </w:p>
    <w:sectPr w:rsidR="00C23B43" w:rsidRPr="002955E3"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E0C" w:rsidRDefault="00CD0E0C" w:rsidP="004900F4">
      <w:r>
        <w:separator/>
      </w:r>
    </w:p>
  </w:endnote>
  <w:endnote w:type="continuationSeparator" w:id="0">
    <w:p w:rsidR="00CD0E0C" w:rsidRDefault="00CD0E0C" w:rsidP="0049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2575A" w:rsidP="00DC5C4E">
    <w:pPr>
      <w:pStyle w:val="Piedepgina"/>
      <w:tabs>
        <w:tab w:val="clear" w:pos="4252"/>
        <w:tab w:val="left" w:pos="4228"/>
      </w:tabs>
      <w:rPr>
        <w:rFonts w:ascii="Palatino Linotype" w:hAnsi="Palatino Linotype" w:cs="Arial"/>
        <w:b/>
        <w:bCs/>
        <w:sz w:val="20"/>
        <w:szCs w:val="20"/>
      </w:rPr>
    </w:pPr>
  </w:p>
  <w:p w:rsidR="0031302B" w:rsidRDefault="00F2575A" w:rsidP="00DC5C4E">
    <w:pPr>
      <w:pStyle w:val="Piedepgina"/>
      <w:tabs>
        <w:tab w:val="clear" w:pos="4252"/>
        <w:tab w:val="left" w:pos="4228"/>
      </w:tabs>
      <w:rPr>
        <w:rFonts w:ascii="Palatino Linotype" w:hAnsi="Palatino Linotype" w:cs="Arial"/>
        <w:b/>
        <w:bCs/>
        <w:sz w:val="20"/>
        <w:szCs w:val="20"/>
      </w:rPr>
    </w:pPr>
  </w:p>
  <w:p w:rsidR="005C7C8F" w:rsidRDefault="00F2575A" w:rsidP="00DC5C4E">
    <w:pPr>
      <w:pStyle w:val="Piedepgina"/>
      <w:tabs>
        <w:tab w:val="clear" w:pos="4252"/>
        <w:tab w:val="left" w:pos="4228"/>
      </w:tabs>
      <w:rPr>
        <w:rFonts w:ascii="Palatino Linotype" w:hAnsi="Palatino Linotype" w:cs="Arial"/>
        <w:b/>
        <w:bCs/>
        <w:sz w:val="20"/>
        <w:szCs w:val="20"/>
      </w:rPr>
    </w:pPr>
  </w:p>
  <w:p w:rsidR="005C7C8F" w:rsidRDefault="00F2575A" w:rsidP="00DC5C4E">
    <w:pPr>
      <w:pStyle w:val="Piedepgina"/>
      <w:tabs>
        <w:tab w:val="clear" w:pos="4252"/>
        <w:tab w:val="left" w:pos="4228"/>
      </w:tabs>
      <w:rPr>
        <w:rFonts w:ascii="Palatino Linotype" w:hAnsi="Palatino Linotype" w:cs="Arial"/>
        <w:b/>
        <w:bCs/>
        <w:sz w:val="20"/>
        <w:szCs w:val="20"/>
      </w:rPr>
    </w:pPr>
  </w:p>
  <w:p w:rsidR="005C7C8F" w:rsidRDefault="00F2575A" w:rsidP="00DC5C4E">
    <w:pPr>
      <w:pStyle w:val="Piedepgina"/>
      <w:rPr>
        <w:rFonts w:ascii="Palatino Linotype" w:hAnsi="Palatino Linotype" w:cs="Arial"/>
        <w:b/>
        <w:bCs/>
        <w:sz w:val="20"/>
        <w:szCs w:val="20"/>
      </w:rPr>
    </w:pPr>
  </w:p>
  <w:p w:rsidR="005C7C8F" w:rsidRPr="00F12350" w:rsidRDefault="002968BD"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2575A">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2575A">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5C7C8F" w:rsidRDefault="00F2575A"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E0C" w:rsidRDefault="00CD0E0C" w:rsidP="004900F4">
      <w:r>
        <w:separator/>
      </w:r>
    </w:p>
  </w:footnote>
  <w:footnote w:type="continuationSeparator" w:id="0">
    <w:p w:rsidR="00CD0E0C" w:rsidRDefault="00CD0E0C" w:rsidP="004900F4">
      <w:r>
        <w:continuationSeparator/>
      </w:r>
    </w:p>
  </w:footnote>
  <w:footnote w:id="1">
    <w:p w:rsidR="002955E3" w:rsidRPr="00ED5CBD" w:rsidRDefault="002955E3" w:rsidP="002955E3">
      <w:pPr>
        <w:tabs>
          <w:tab w:val="left" w:pos="426"/>
        </w:tabs>
        <w:jc w:val="both"/>
        <w:rPr>
          <w:rFonts w:ascii="Palatino Linotype" w:hAnsi="Palatino Linotype"/>
          <w:sz w:val="16"/>
          <w:szCs w:val="16"/>
          <w:lang w:eastAsia="es-MX"/>
        </w:rPr>
      </w:pPr>
      <w:r>
        <w:rPr>
          <w:rStyle w:val="Refdenotaalpie"/>
        </w:rPr>
        <w:footnoteRef/>
      </w:r>
      <w:r>
        <w:t xml:space="preserve"> </w:t>
      </w:r>
      <w:r w:rsidRPr="00ED5CBD">
        <w:rPr>
          <w:rFonts w:ascii="Palatino Linotype" w:hAnsi="Palatino Linotype" w:cs="Segoe UI"/>
          <w:sz w:val="16"/>
          <w:szCs w:val="16"/>
        </w:rPr>
        <w:t xml:space="preserve">Criterio orientador </w:t>
      </w:r>
      <w:r w:rsidRPr="00ED5CBD">
        <w:rPr>
          <w:rFonts w:ascii="Palatino Linotype" w:hAnsi="Palatino Linotype"/>
          <w:sz w:val="16"/>
          <w:szCs w:val="16"/>
          <w:lang w:eastAsia="es-MX"/>
        </w:rPr>
        <w:t>002/2017 del Instituto Nacional de Acceso a la Información y Protección de Datos (INAI), que señala lo siguiente:</w:t>
      </w:r>
    </w:p>
    <w:p w:rsidR="002955E3" w:rsidRPr="00ED5CBD" w:rsidRDefault="002955E3" w:rsidP="002955E3">
      <w:pPr>
        <w:jc w:val="both"/>
        <w:rPr>
          <w:rFonts w:ascii="Palatino Linotype" w:hAnsi="Palatino Linotype" w:cs="Arial"/>
          <w:b/>
          <w:bCs/>
          <w:i/>
          <w:sz w:val="16"/>
          <w:szCs w:val="16"/>
        </w:rPr>
      </w:pPr>
      <w:r w:rsidRPr="00ED5CBD">
        <w:rPr>
          <w:rFonts w:ascii="Palatino Linotype" w:hAnsi="Palatino Linotype" w:cs="Arial"/>
          <w:b/>
          <w:bCs/>
          <w:i/>
          <w:sz w:val="16"/>
          <w:szCs w:val="16"/>
        </w:rPr>
        <w:t>“Congruencia y exhaustividad.</w:t>
      </w:r>
      <w:r w:rsidRPr="00ED5CBD">
        <w:rPr>
          <w:rFonts w:ascii="Palatino Linotype" w:hAnsi="Palatino Linotype" w:cs="Arial"/>
          <w:bCs/>
          <w:i/>
          <w:sz w:val="16"/>
          <w:szCs w:val="16"/>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D5CBD">
        <w:rPr>
          <w:rFonts w:ascii="Palatino Linotype" w:hAnsi="Palatino Linotype" w:cs="Arial"/>
          <w:b/>
          <w:bCs/>
          <w:i/>
          <w:sz w:val="16"/>
          <w:szCs w:val="16"/>
        </w:rPr>
        <w:t>la congruencia implica que exista concordancia entre el requerimiento formulado por el particular y la respuesta proporcionada por el sujeto obligado;</w:t>
      </w:r>
      <w:r w:rsidRPr="00ED5CBD">
        <w:rPr>
          <w:rFonts w:ascii="Palatino Linotype" w:hAnsi="Palatino Linotype" w:cs="Arial"/>
          <w:bCs/>
          <w:i/>
          <w:sz w:val="16"/>
          <w:szCs w:val="16"/>
        </w:rPr>
        <w:t xml:space="preserve"> mientras que </w:t>
      </w:r>
      <w:r w:rsidRPr="00ED5CBD">
        <w:rPr>
          <w:rFonts w:ascii="Palatino Linotype" w:hAnsi="Palatino Linotype" w:cs="Arial"/>
          <w:b/>
          <w:bCs/>
          <w:i/>
          <w:sz w:val="16"/>
          <w:szCs w:val="16"/>
        </w:rPr>
        <w:t xml:space="preserve">la exhaustividad significa que dicha respuesta se refiera expresamente a cada uno de los puntos solicitados. </w:t>
      </w:r>
      <w:r w:rsidRPr="00ED5CBD">
        <w:rPr>
          <w:rFonts w:ascii="Palatino Linotype" w:hAnsi="Palatino Linotype" w:cs="Arial"/>
          <w:bCs/>
          <w:i/>
          <w:sz w:val="16"/>
          <w:szCs w:val="16"/>
        </w:rPr>
        <w:t xml:space="preserve">Por lo anterior, los sujetos obligados cumplirán con los principios de congruencia y exhaustividad, </w:t>
      </w:r>
      <w:r w:rsidRPr="00ED5CBD">
        <w:rPr>
          <w:rFonts w:ascii="Palatino Linotype" w:hAnsi="Palatino Linotype" w:cs="Arial"/>
          <w:b/>
          <w:bCs/>
          <w:i/>
          <w:sz w:val="16"/>
          <w:szCs w:val="16"/>
        </w:rPr>
        <w:t>cuando las respuestas que emitan guarden una relación lógica con lo solicitado y atiendan de manera puntual y expresa, cada uno de los contenidos de información.</w:t>
      </w:r>
    </w:p>
    <w:p w:rsidR="002955E3" w:rsidRPr="00A104B0" w:rsidRDefault="002955E3" w:rsidP="002955E3">
      <w:pPr>
        <w:jc w:val="both"/>
        <w:rPr>
          <w:rFonts w:ascii="Palatino Linotype" w:hAnsi="Palatino Linotype" w:cs="Arial"/>
          <w:b/>
          <w:bCs/>
          <w:i/>
          <w:sz w:val="16"/>
          <w:szCs w:val="16"/>
        </w:rPr>
      </w:pPr>
      <w:r w:rsidRPr="00A104B0">
        <w:rPr>
          <w:rFonts w:ascii="Palatino Linotype" w:hAnsi="Palatino Linotype" w:cs="Arial"/>
          <w:bCs/>
          <w:i/>
          <w:sz w:val="16"/>
          <w:szCs w:val="16"/>
        </w:rPr>
        <w:t xml:space="preserve">Resoluciones: </w:t>
      </w:r>
      <w:r w:rsidRPr="00A104B0">
        <w:rPr>
          <w:rFonts w:ascii="Palatino Linotype" w:hAnsi="Palatino Linotype" w:cs="Arial"/>
          <w:bCs/>
          <w:i/>
          <w:sz w:val="16"/>
          <w:szCs w:val="16"/>
        </w:rPr>
        <w:sym w:font="Symbol" w:char="F0B7"/>
      </w:r>
      <w:r w:rsidRPr="00A104B0">
        <w:rPr>
          <w:rFonts w:ascii="Palatino Linotype" w:hAnsi="Palatino Linotype" w:cs="Arial"/>
          <w:bCs/>
          <w:i/>
          <w:sz w:val="16"/>
          <w:szCs w:val="16"/>
        </w:rPr>
        <w:t xml:space="preserve"> RRA 0003/16. Comisión Nacional de las Zonas Áridas. 29 de junio de 2016. Por unanimidad. Comisionado Ponente Oscar Mauricio Guerra Ford. </w:t>
      </w:r>
      <w:r w:rsidRPr="00A104B0">
        <w:rPr>
          <w:rFonts w:ascii="Palatino Linotype" w:hAnsi="Palatino Linotype" w:cs="Arial"/>
          <w:bCs/>
          <w:i/>
          <w:sz w:val="16"/>
          <w:szCs w:val="16"/>
        </w:rPr>
        <w:sym w:font="Symbol" w:char="F0B7"/>
      </w:r>
      <w:r w:rsidRPr="00A104B0">
        <w:rPr>
          <w:rFonts w:ascii="Palatino Linotype" w:hAnsi="Palatino Linotype" w:cs="Arial"/>
          <w:bCs/>
          <w:i/>
          <w:sz w:val="16"/>
          <w:szCs w:val="16"/>
        </w:rPr>
        <w:t xml:space="preserve"> RRA 0100/16. Sindicato Nacional de Trabajadores de la Educación. 13 de julio de 2016. Por unanimidad. Comisionada Ponente. Areli Cano Guadiana. </w:t>
      </w:r>
      <w:r w:rsidRPr="00A104B0">
        <w:rPr>
          <w:rFonts w:ascii="Palatino Linotype" w:hAnsi="Palatino Linotype" w:cs="Arial"/>
          <w:bCs/>
          <w:i/>
          <w:sz w:val="16"/>
          <w:szCs w:val="16"/>
        </w:rPr>
        <w:sym w:font="Symbol" w:char="F0B7"/>
      </w:r>
      <w:r w:rsidRPr="00A104B0">
        <w:rPr>
          <w:rFonts w:ascii="Palatino Linotype" w:hAnsi="Palatino Linotype" w:cs="Arial"/>
          <w:bCs/>
          <w:i/>
          <w:sz w:val="16"/>
          <w:szCs w:val="16"/>
        </w:rPr>
        <w:t xml:space="preserve"> RRA 1419/16. Secretaría de Educación Pública. 14 de septiembre de 2016. Por unanimidad. Comisionado Ponente </w:t>
      </w:r>
      <w:proofErr w:type="spellStart"/>
      <w:r w:rsidRPr="00A104B0">
        <w:rPr>
          <w:rFonts w:ascii="Palatino Linotype" w:hAnsi="Palatino Linotype" w:cs="Arial"/>
          <w:bCs/>
          <w:i/>
          <w:sz w:val="16"/>
          <w:szCs w:val="16"/>
        </w:rPr>
        <w:t>Rosendoevgueni</w:t>
      </w:r>
      <w:proofErr w:type="spellEnd"/>
      <w:r w:rsidRPr="00A104B0">
        <w:rPr>
          <w:rFonts w:ascii="Palatino Linotype" w:hAnsi="Palatino Linotype" w:cs="Arial"/>
          <w:bCs/>
          <w:i/>
          <w:sz w:val="16"/>
          <w:szCs w:val="16"/>
        </w:rPr>
        <w:t xml:space="preserve"> Monterrey </w:t>
      </w:r>
      <w:proofErr w:type="spellStart"/>
      <w:r w:rsidRPr="00A104B0">
        <w:rPr>
          <w:rFonts w:ascii="Palatino Linotype" w:hAnsi="Palatino Linotype" w:cs="Arial"/>
          <w:bCs/>
          <w:i/>
          <w:sz w:val="16"/>
          <w:szCs w:val="16"/>
        </w:rPr>
        <w:t>Chepov</w:t>
      </w:r>
      <w:proofErr w:type="spellEnd"/>
      <w:r w:rsidRPr="00A104B0">
        <w:rPr>
          <w:rFonts w:ascii="Palatino Linotype" w:hAnsi="Palatino Linotype" w:cs="Arial"/>
          <w:b/>
          <w:bCs/>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257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2968BD"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51AD543" wp14:editId="3174360B">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F2575A" w:rsidP="00DC5C4E">
    <w:pPr>
      <w:pStyle w:val="Encabezado"/>
      <w:tabs>
        <w:tab w:val="clear" w:pos="4252"/>
        <w:tab w:val="clear" w:pos="8504"/>
        <w:tab w:val="left" w:pos="2326"/>
      </w:tabs>
      <w:jc w:val="right"/>
    </w:pPr>
  </w:p>
  <w:p w:rsidR="005C7C8F" w:rsidRDefault="002968BD"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2968BD"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4900F4">
      <w:rPr>
        <w:rFonts w:ascii="Palatino Linotype" w:hAnsi="Palatino Linotype" w:cs="Arial"/>
        <w:sz w:val="20"/>
        <w:szCs w:val="20"/>
      </w:rPr>
      <w:t>4530</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r w:rsidR="004900F4">
      <w:rPr>
        <w:rFonts w:ascii="Palatino Linotype" w:hAnsi="Palatino Linotype" w:cs="Arial"/>
        <w:sz w:val="20"/>
        <w:szCs w:val="20"/>
      </w:rPr>
      <w:t xml:space="preserve"> Y ACUMULADO</w:t>
    </w:r>
  </w:p>
  <w:p w:rsidR="002E3829" w:rsidRDefault="00F2575A"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257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EDC6588"/>
    <w:multiLevelType w:val="hybridMultilevel"/>
    <w:tmpl w:val="E32A4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3840472"/>
    <w:multiLevelType w:val="hybridMultilevel"/>
    <w:tmpl w:val="678E0DE0"/>
    <w:lvl w:ilvl="0" w:tplc="080A0001">
      <w:start w:val="1"/>
      <w:numFmt w:val="bullet"/>
      <w:lvlText w:val=""/>
      <w:lvlJc w:val="left"/>
      <w:pPr>
        <w:ind w:left="730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F4"/>
    <w:rsid w:val="002955E3"/>
    <w:rsid w:val="002968BD"/>
    <w:rsid w:val="002D2C2A"/>
    <w:rsid w:val="0046796F"/>
    <w:rsid w:val="004900F4"/>
    <w:rsid w:val="009B7518"/>
    <w:rsid w:val="00A104B0"/>
    <w:rsid w:val="00B30FE3"/>
    <w:rsid w:val="00C238E8"/>
    <w:rsid w:val="00C23B43"/>
    <w:rsid w:val="00C436AA"/>
    <w:rsid w:val="00C55947"/>
    <w:rsid w:val="00C9714C"/>
    <w:rsid w:val="00CD0E0C"/>
    <w:rsid w:val="00D37B55"/>
    <w:rsid w:val="00D72F45"/>
    <w:rsid w:val="00ED5CBD"/>
    <w:rsid w:val="00F257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7666813-32CA-4EE1-BC75-DCF6ACD2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0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00F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900F4"/>
    <w:rPr>
      <w:rFonts w:eastAsiaTheme="minorEastAsia"/>
      <w:sz w:val="24"/>
      <w:szCs w:val="24"/>
      <w:lang w:val="es-ES_tradnl" w:eastAsia="es-ES"/>
    </w:rPr>
  </w:style>
  <w:style w:type="paragraph" w:styleId="Piedepgina">
    <w:name w:val="footer"/>
    <w:basedOn w:val="Normal"/>
    <w:link w:val="PiedepginaCar"/>
    <w:uiPriority w:val="99"/>
    <w:unhideWhenUsed/>
    <w:rsid w:val="004900F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900F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6796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6796F"/>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2955E3"/>
    <w:rPr>
      <w:sz w:val="20"/>
      <w:szCs w:val="20"/>
    </w:rPr>
  </w:style>
  <w:style w:type="character" w:customStyle="1" w:styleId="TextonotapieCar">
    <w:name w:val="Texto nota pie Car"/>
    <w:basedOn w:val="Fuentedeprrafopredeter"/>
    <w:link w:val="Textonotapie"/>
    <w:uiPriority w:val="99"/>
    <w:semiHidden/>
    <w:rsid w:val="002955E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955E3"/>
    <w:rPr>
      <w:vertAlign w:val="superscript"/>
    </w:rPr>
  </w:style>
  <w:style w:type="paragraph" w:styleId="Textodeglobo">
    <w:name w:val="Balloon Text"/>
    <w:basedOn w:val="Normal"/>
    <w:link w:val="TextodegloboCar"/>
    <w:uiPriority w:val="99"/>
    <w:semiHidden/>
    <w:unhideWhenUsed/>
    <w:rsid w:val="002955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55E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14C64-D46A-4D26-A50D-B7B5AC43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3441</Words>
  <Characters>18927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2019-02-18T20:00:00Z</cp:lastPrinted>
  <dcterms:created xsi:type="dcterms:W3CDTF">2019-02-15T18:37:00Z</dcterms:created>
  <dcterms:modified xsi:type="dcterms:W3CDTF">2019-03-15T00:53:00Z</dcterms:modified>
</cp:coreProperties>
</file>